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14225" w:rsidRPr="00514225" w:rsidTr="0051422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51422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BLIŽIM USLOVIMA ZA DRŽANJE OPASNE HEMIKALIJE U PRODAJNOM PROSTORU I NAČINU OBELEŽAVANJA TOG PROSTORA</w:t>
            </w:r>
          </w:p>
          <w:bookmarkEnd w:id="0"/>
          <w:p w:rsidR="00514225" w:rsidRPr="00514225" w:rsidRDefault="00514225" w:rsidP="0051422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31/2011 i 16/2012)</w:t>
            </w:r>
          </w:p>
        </w:tc>
      </w:tr>
    </w:tbl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514225">
        <w:rPr>
          <w:rFonts w:ascii="Arial" w:eastAsia="Times New Roman" w:hAnsi="Arial" w:cs="Arial"/>
          <w:sz w:val="31"/>
          <w:szCs w:val="31"/>
          <w:lang w:eastAsia="sr-Latn-RS"/>
        </w:rPr>
        <w:t xml:space="preserve">I UVODNE ODREDBE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Ovim pravilnikom propisuju se bliži uslovi za držanje opasne hemikalije u prodajnom prostoru i način obeležavanja tog prostora. </w:t>
      </w:r>
    </w:p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" w:name="str_2"/>
      <w:bookmarkEnd w:id="3"/>
      <w:r w:rsidRPr="00514225">
        <w:rPr>
          <w:rFonts w:ascii="Arial" w:eastAsia="Times New Roman" w:hAnsi="Arial" w:cs="Arial"/>
          <w:sz w:val="31"/>
          <w:szCs w:val="31"/>
          <w:lang w:eastAsia="sr-Latn-RS"/>
        </w:rPr>
        <w:t xml:space="preserve">II USLOVI ZA DRŽANJE OPASNE HEMIKALIJE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Opasna hemikalija kada se drži u specijalizovanim ili u drugim prodavnicama mora se držati odvojeno od hemikalija sa kojima može reagovati kako bi se onemogućila njihova međusobna hemijska reakcija.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Opasna hemikalija kada se drži u prodavnicama sa drugom robom, mora se držati odvojeno od druge robe, u ormaru ili zasebnoj polici, kako bi se sprečilo dejstvo opasne hemikalije na tu robu.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Ormar ili polica u kojoj se drži opasna hemikalija mora biti izrađena od materijala koji je otporan na dejstvo te hemikalije.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Prodavac je dužan da, na zahtev potrošača, pruži objašnjenje o sadržaju etikete i informacije iz bezbednosnog lista o: opasnostima po zdravlje ljudi i životnu sredinu, pravilnom rukovanju sa opasnom hemikalijom, merama bezbednosti prilikom rukovanja, kao i merama prve pomoći u slučaju nesreće. </w:t>
      </w:r>
    </w:p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7" w:name="str_3"/>
      <w:bookmarkEnd w:id="7"/>
      <w:r w:rsidRPr="00514225">
        <w:rPr>
          <w:rFonts w:ascii="Arial" w:eastAsia="Times New Roman" w:hAnsi="Arial" w:cs="Arial"/>
          <w:sz w:val="31"/>
          <w:szCs w:val="31"/>
          <w:lang w:eastAsia="sr-Latn-RS"/>
        </w:rPr>
        <w:t xml:space="preserve">III OBELEŽAVANJE PROSTORA GDE SE PRODAJE OPASNA HEMIKALIJA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5"/>
      <w:bookmarkEnd w:id="8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U prostoru gde se prodaje hemikalija klasifikovana u jednu od klasa opasnosti datih u Tabeli 1. ili Tabeli 2. mora se na vidno mesto postaviti Obaveštenje Agencije za hemikalije o elementima obeležavanja na osnovu klasifikacije hemikalija i Obaveštenje Agencije za hemikalije o načinu postupanja sa opasnim hemikalijama namenjeno potrošačima.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159"/>
      </w:tblGrid>
      <w:tr w:rsidR="00514225" w:rsidRPr="00514225" w:rsidTr="00514225">
        <w:trPr>
          <w:tblCellSpacing w:w="0" w:type="dxa"/>
        </w:trPr>
        <w:tc>
          <w:tcPr>
            <w:tcW w:w="0" w:type="auto"/>
            <w:noWrap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Tabela 1: </w:t>
            </w:r>
          </w:p>
        </w:tc>
        <w:tc>
          <w:tcPr>
            <w:tcW w:w="0" w:type="auto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Klasifikacija u skladu sa Pravilnikom o klasifikaciji, pakovanju, obeležavanju i oglašavanju hemikalije i određenog proizvoda ("Službeni glasnik RS", br. 59/10, 25/11 i 5/12)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2"/>
        <w:gridCol w:w="2100"/>
      </w:tblGrid>
      <w:tr w:rsidR="00514225" w:rsidRPr="00514225" w:rsidTr="00514225">
        <w:trPr>
          <w:tblCellSpacing w:w="0" w:type="dxa"/>
        </w:trPr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Klasa opasnosti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Znak opasnosti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Veoma toksično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T+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Toksično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Štetno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Xn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Korozivno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C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Iritativno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Xi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Senzibilizacija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Xn ili Xi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Karcinogeno,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Karcinogeno, kategorija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Xn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Mutageno,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Mutageno, kategorija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Xn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Toksično po reprodukciju,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Toksično po reprodukciju, kategorija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Xn 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159"/>
      </w:tblGrid>
      <w:tr w:rsidR="00514225" w:rsidRPr="00514225" w:rsidTr="00514225">
        <w:trPr>
          <w:tblCellSpacing w:w="0" w:type="dxa"/>
        </w:trPr>
        <w:tc>
          <w:tcPr>
            <w:tcW w:w="0" w:type="auto"/>
            <w:noWrap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Tabela 2: </w:t>
            </w:r>
          </w:p>
        </w:tc>
        <w:tc>
          <w:tcPr>
            <w:tcW w:w="0" w:type="auto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Klasifikacija u skladu sa Pravilnikom o klasifikaciji, pakovanju, obeležavanju i oglašavanju hemikalije i određenog proizvoda u skladu sa Globalno harmonizovanim sistemom za klasifikaciju i obeležavanje UN ("Službeni glasnik RS", br. 64/10 i 26/11)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9"/>
        <w:gridCol w:w="422"/>
        <w:gridCol w:w="422"/>
        <w:gridCol w:w="408"/>
        <w:gridCol w:w="1071"/>
      </w:tblGrid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Klasa opasnosti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Kategorija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Akutna toksičnost: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Oralna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4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Dermalna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4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Inhalaciona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4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Korozivno oštećenje/iritacija kože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Korozija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Iritacija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Teško oštećenje/iritacija oka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Senzibilizacija respiratornih organa / senzibilizacija kože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Mutagenost germinativnih ćelija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Toksičnost po reprodukciju: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Plodnost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Laktacija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Rast i razvoj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Specifična toksičnost za ciljni organ - višekratna izloženost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Specifična toksičnost za ciljni organ - jednokratna izloženost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Opasnost od aspiracije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5a"/>
      <w:bookmarkEnd w:id="9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5a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Obaveštenje Agencije za hemikalije o elementima obeležavanja na osnovu klasifikacije iz člana 6. ovog pravilnika pravougaonog je oblika formata A4, a u prodajnom prostoru površine veće od 100 m</w:t>
      </w:r>
      <w:r w:rsidRPr="00514225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514225">
        <w:rPr>
          <w:rFonts w:ascii="Arial" w:eastAsia="Times New Roman" w:hAnsi="Arial" w:cs="Arial"/>
          <w:lang w:eastAsia="sr-Latn-RS"/>
        </w:rPr>
        <w:t xml:space="preserve"> formata A3.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Obaveštenje iz stava 1. ovog člana sadrži elemente obeležavanja na osnovu klasifikacije: klasu opasnosti i grafički prikaz opasnosti (piktogram), pisano upozorenje i znak opasnosti, kao i klasu i kategoriju opasnosti i piktogram opasnosti prikazane u skladu sa: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lastRenderedPageBreak/>
        <w:t>1. Pravilnikom o klasifikaciji, pakovanju, obeležavanju i oglašavanju hemikalije i određenog proizvoda ("Službeni glasnik RS", br. 59/10, 25/11 i 5/12),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2. Pravilnikom o klasifikaciji, pakovanju, obeležavanju i oglašavanju hemikalije i određenog proizvoda u skladu sa Globalno harmonizovanim sistemom za klasifikaciju i obeležavanje UN ("Službeni glasnik RS", br. 64/10 i 26/11).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Obaveštenje iz stava 1. ovog člana dato je na Obrascu 1 koji čini sastavni deo ovog pravilnika.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b"/>
      <w:bookmarkEnd w:id="10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5b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Obaveštenje Agencije za hemikalije o načinu postupanja sa opasnim hemikalijama namenjeno potrošačima iz člana 6. ovog pravilnika pravougaonog je oblika formata A4, a u prodajnom prostoru površine veće od 100 m</w:t>
      </w:r>
      <w:r w:rsidRPr="00514225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514225">
        <w:rPr>
          <w:rFonts w:ascii="Arial" w:eastAsia="Times New Roman" w:hAnsi="Arial" w:cs="Arial"/>
          <w:lang w:eastAsia="sr-Latn-RS"/>
        </w:rPr>
        <w:t xml:space="preserve"> formata A3 i sadrži: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1. obaveštenje potrošačima da se obrate prodavcu za dobijanje objašnjenja iz člana 5. ovog pravilnika;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2. opšte informacije o načinu postupanja sa opasnim hemikalijama.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>Obaveštenje iz stava 1. ovog člana dato je na Obrascu 2 koji čini sastavni deo ovog pravilnika.</w:t>
      </w:r>
    </w:p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1" w:name="str_4"/>
      <w:bookmarkEnd w:id="11"/>
      <w:r w:rsidRPr="00514225">
        <w:rPr>
          <w:rFonts w:ascii="Arial" w:eastAsia="Times New Roman" w:hAnsi="Arial" w:cs="Arial"/>
          <w:sz w:val="31"/>
          <w:szCs w:val="31"/>
          <w:lang w:eastAsia="sr-Latn-RS"/>
        </w:rPr>
        <w:t xml:space="preserve">V PRELAZNE I ZAVRŠNE ODREDBE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6"/>
      <w:bookmarkEnd w:id="12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Pravno lice ili preduzetnik koji se bavi maloprodajom dužan je da prilagodi uslove prodaje opasne hemikalije odredbama ovog pravilnika u roku od godinu dana stupanja na snagu ovog pravilnika. </w:t>
      </w:r>
    </w:p>
    <w:p w:rsidR="00514225" w:rsidRPr="00514225" w:rsidRDefault="00514225" w:rsidP="005142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7"/>
      <w:bookmarkEnd w:id="13"/>
      <w:r w:rsidRPr="005142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514225" w:rsidRPr="00514225" w:rsidRDefault="00514225" w:rsidP="005142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4225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4" w:name="str_5"/>
      <w:bookmarkEnd w:id="14"/>
      <w:r w:rsidRPr="0051422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 1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8201"/>
      </w:tblGrid>
      <w:tr w:rsidR="00514225" w:rsidRPr="00514225" w:rsidTr="00514225">
        <w:trPr>
          <w:tblCellSpacing w:w="0" w:type="dxa"/>
        </w:trPr>
        <w:tc>
          <w:tcPr>
            <w:tcW w:w="500" w:type="pct"/>
            <w:vMerge w:val="restart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428625" cy="749935"/>
                  <wp:effectExtent l="0" t="0" r="9525" b="0"/>
                  <wp:docPr id="22" name="Picture 22" descr="D:\ParagrafLex\browser\Files\Old\t\t2012_03\t03_0130_s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aragrafLex\browser\Files\Old\t\t2012_03\t03_0130_s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Republika Srbija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Agencija za hemikalije 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756"/>
        <w:gridCol w:w="2258"/>
        <w:gridCol w:w="1719"/>
        <w:gridCol w:w="2038"/>
      </w:tblGrid>
      <w:tr w:rsidR="00514225" w:rsidRPr="00514225" w:rsidTr="0051422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</w:pPr>
            <w:bookmarkStart w:id="15" w:name="str_6"/>
            <w:bookmarkEnd w:id="15"/>
            <w:r w:rsidRPr="00514225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  <w:t>OBAVEŠTENJE</w:t>
            </w:r>
            <w:r w:rsidRPr="00514225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  <w:br/>
              <w:t xml:space="preserve">O ELEMENTIMA OBELEŽAVANJA NA OSNOVU KLASIFIKACIJE HEMIKALIJA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PREMA PRAVILNIKU O KLASIFIKACIJI, PAKOVANJU, OBELEŽAVANJU I OGLAŠAVANJU HEMIKALIJE I ODREĐENOG PROIZVODA ("SL. GLASNIK RS", BROJ 59/10, 25/11 i 5/12)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PREMA PRAVILNIKU O KLASIFIKACIJI, PAKOVANJU, OBELEŽAVANJU I OGLAŠAVANJU HEMIKALIJE I ODREĐENOG PROIZVODA U SKLADU SA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GLOBALNO HARMONIZOVANIM SISTEMOM ZA KLASIFIKACIJU I OBELEŽAVANJE UN ("SL. GLASNIK RS", BROJ 64/10 I 26/11)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KLASA OPASNOSTI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Grafički prikaz opasnosti (piktogram), pisano upozorenje i znak opasnosti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KLASA I KATEGORIJA OPASNOSTI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Piktogram opasnosti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Eksplozivno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1070610"/>
                  <wp:effectExtent l="0" t="0" r="9525" b="0"/>
                  <wp:docPr id="21" name="Picture 21" descr="D:\ParagrafLex\browser\Files\Old\t\t2012_03\t03_0130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aragrafLex\browser\Files\Old\t\t2012_03\t03_0130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Eksplozivno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Nestabilni eksplozivi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Eksplozivi, podklasa 1.1, 1.2, 1.3 i 1.4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Samoreaktivne supstance i smeše, tip A, B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Organski peroksidi, tip A,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210945" cy="980440"/>
                  <wp:effectExtent l="0" t="0" r="8255" b="0"/>
                  <wp:docPr id="20" name="Picture 20" descr="D:\ParagrafLex\browser\Files\Old\t\t2012_03\t03_0130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aragrafLex\browser\Files\Old\t\t2012_03\t03_0130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Veoma lako zapaljivo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Lako zapaljivo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136650" cy="1457960"/>
                  <wp:effectExtent l="0" t="0" r="6350" b="8890"/>
                  <wp:docPr id="19" name="Picture 19" descr="D:\ParagrafLex\browser\Files\Old\t\t2012_03\t03_0130_s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aragrafLex\browser\Files\Old\t\t2012_03\t03_0130_s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Veoma lako zapaljivo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F</w:t>
            </w:r>
            <w:r w:rsidRPr="0051422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+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ili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lako zapaljivo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Zapaljivi gasovi, kat. 1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Zapaljivi aerosoli, kat. 1 i 2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Zapaljive tečnosti, kat. 1, 2 i 3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Zapaljive čvrste supstance i smeše, kat 1 i 2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Samoreaktivne supstance i smeše, tip B, C, D, E, F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Samozapaljive tečnosti, kat. 1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Samozapaljive čvrste supstance i smeše, kat. 1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Samozagrevajuće supstance i smeše, kat. 1 i 2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Supstance i smeše koje u kontaktu sa vodom oslobađaju zapaljive gasove, kat. 1, 2 i 3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Organski peroksidi, tip B, C, D, E,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326515" cy="1252220"/>
                  <wp:effectExtent l="0" t="0" r="6985" b="5080"/>
                  <wp:docPr id="18" name="Picture 18" descr="D:\ParagrafLex\browser\Files\Old\t\t2012_03\t03_0130_s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ParagrafLex\browser\Files\Old\t\t2012_03\t03_0130_s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>Oksidujuće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1087120"/>
                  <wp:effectExtent l="0" t="0" r="9525" b="0"/>
                  <wp:docPr id="17" name="Picture 17" descr="D:\ParagrafLex\browser\Files\Old\t\t2012_03\t03_0130_s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aragrafLex\browser\Files\Old\t\t2012_03\t03_0130_s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Oksidujuće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Oksidujući gasovi, kat. 1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Oksidujuće tečnosti, kat. 1, 2 i 3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Oksidujuće čvrste supstance i smeše, kat. 1, 2 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725170"/>
                  <wp:effectExtent l="0" t="0" r="9525" b="0"/>
                  <wp:docPr id="16" name="Picture 16" descr="D:\ParagrafLex\browser\Files\Old\t\t2012_03\t03_0130_s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ParagrafLex\browser\Files\Old\t\t2012_03\t03_0130_s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Gasovi pod pritiskom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741680"/>
                  <wp:effectExtent l="0" t="0" r="9525" b="1270"/>
                  <wp:docPr id="15" name="Picture 15" descr="D:\ParagrafLex\browser\Files\Old\t\t2012_03\t03_0130_s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ParagrafLex\browser\Files\Old\t\t2012_03\t03_0130_s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Korozivno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54735" cy="1136650"/>
                  <wp:effectExtent l="0" t="0" r="0" b="6350"/>
                  <wp:docPr id="14" name="Picture 14" descr="D:\ParagrafLex\browser\Files\Old\t\t2012_03\t03_0130_s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aragrafLex\browser\Files\Old\t\t2012_03\t03_0130_s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Korozivno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Supstance i smeše korozivne za metale, kat. 1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Korozivno oštećenje kože, kat. 1A, 1B i 1C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Teško oštećenje oka, kat.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05205" cy="683895"/>
                  <wp:effectExtent l="0" t="0" r="4445" b="1905"/>
                  <wp:docPr id="13" name="Picture 13" descr="D:\ParagrafLex\browser\Files\Old\t\t2012_03\t03_0130_s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ParagrafLex\browser\Files\Old\t\t2012_03\t03_0130_s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Veoma toksično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Toksično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136650" cy="1161415"/>
                  <wp:effectExtent l="0" t="0" r="6350" b="635"/>
                  <wp:docPr id="12" name="Picture 12" descr="D:\ParagrafLex\browser\Files\Old\t\t2012_03\t03_0130_s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ParagrafLex\browser\Files\Old\t\t2012_03\t03_0130_s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Veoma toksično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T</w:t>
            </w:r>
            <w:r w:rsidRPr="0051422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+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ili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Toksično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Akutna toksičnost, kat. 1, 2 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210945" cy="831850"/>
                  <wp:effectExtent l="0" t="0" r="8255" b="6350"/>
                  <wp:docPr id="11" name="Picture 11" descr="D:\ParagrafLex\browser\Files\Old\t\t2012_03\t03_0130_s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ParagrafLex\browser\Files\Old\t\t2012_03\t03_0130_s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Štetno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Iritativno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Senzibilizacija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1111885"/>
                  <wp:effectExtent l="0" t="0" r="9525" b="0"/>
                  <wp:docPr id="10" name="Picture 10" descr="D:\ParagrafLex\browser\Files\Old\t\t2012_03\t03_0130_s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ParagrafLex\browser\Files\Old\t\t2012_03\t03_0130_s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Štetno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X</w:t>
            </w:r>
            <w:r w:rsidRPr="00514225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bscript"/>
                <w:lang w:eastAsia="sr-Latn-RS"/>
              </w:rPr>
              <w:t>n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Ili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Iritativno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X</w:t>
            </w:r>
            <w:r w:rsidRPr="00514225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bscript"/>
                <w:lang w:eastAsia="sr-Latn-R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Akutna toksičnost, kat. 4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Iritacija kože, kat.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Iritacija oka, kat.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Senzibilizacija kože, kat. 1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Specifična toksičnost za ciljni organ-jednokratna izloženost, kat.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765810"/>
                  <wp:effectExtent l="0" t="0" r="9525" b="0"/>
                  <wp:docPr id="9" name="Picture 9" descr="D:\ParagrafLex\browser\Files\Old\t\t2012_03\t03_0130_s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ParagrafLex\browser\Files\Old\t\t2012_03\t03_0130_s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Mutageno, kat. 1 i 2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Karcinogeno, kat. 1 i 2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Toksično po reprodukciju, kat. 1 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136650" cy="1161415"/>
                  <wp:effectExtent l="0" t="0" r="6350" b="635"/>
                  <wp:docPr id="8" name="Picture 8" descr="D:\ParagrafLex\browser\Files\Old\t\t2012_03\t03_0130_s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ParagrafLex\browser\Files\Old\t\t2012_03\t03_0130_s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Toksično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Senzibilizacija respiratornih organa, kat. 1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Mutagenost germinativnih ćelija, kat. 1A, 1B i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</w: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Karcinogenost, kat. 1A, 1B i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reprodukciju, kat 1A, 1B i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Specifična toksičnost za ciljni organ - JI, kat. 1 i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 xml:space="preserve">Specifična toksičnost za ciljni organ - VI, kat. 1 i 2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Opasnost od aspiracije, kat.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lastRenderedPageBreak/>
              <w:drawing>
                <wp:inline distT="0" distB="0" distL="0" distR="0">
                  <wp:extent cx="1095375" cy="1202690"/>
                  <wp:effectExtent l="0" t="0" r="9525" b="0"/>
                  <wp:docPr id="7" name="Picture 7" descr="D:\ParagrafLex\browser\Files\Old\t\t2012_03\t03_0130_s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ParagrafLex\browser\Files\Old\t\t2012_03\t03_0130_s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>Mutageno, kat 3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Karcinogeno, kat 3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Toksično po reprodukciju, kat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1111885"/>
                  <wp:effectExtent l="0" t="0" r="9525" b="0"/>
                  <wp:docPr id="6" name="Picture 6" descr="D:\ParagrafLex\browser\Files\Old\t\t2012_03\t03_0130_s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ParagrafLex\browser\Files\Old\t\t2012_03\t03_0130_s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Štetno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X</w:t>
            </w:r>
            <w:r w:rsidRPr="00514225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bscript"/>
                <w:lang w:eastAsia="sr-Latn-R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>Opasno po životnu sredinu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1103630"/>
                  <wp:effectExtent l="0" t="0" r="9525" b="1270"/>
                  <wp:docPr id="5" name="Picture 5" descr="D:\ParagrafLex\browser\Files\Old\t\t2012_03\t03_0130_s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ParagrafLex\browser\Files\Old\t\t2012_03\t03_0130_s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Opasno po životnu sredinu </w:t>
            </w:r>
            <w:r w:rsidRPr="00514225">
              <w:rPr>
                <w:rFonts w:ascii="Arial" w:eastAsia="Times New Roman" w:hAnsi="Arial" w:cs="Arial"/>
                <w:b/>
                <w:bCs/>
                <w:lang w:eastAsia="sr-Latn-R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Opasnost po vodenu životnu sredinu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- Akutno, kat. 1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- Hronično, kat. 1 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1095375" cy="955675"/>
                  <wp:effectExtent l="0" t="0" r="9525" b="0"/>
                  <wp:docPr id="4" name="Picture 4" descr="D:\ParagrafLex\browser\Files\Old\t\t2012_03\t03_0130_s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ParagrafLex\browser\Files\Old\t\t2012_03\t03_0130_s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225" w:rsidRPr="00514225" w:rsidRDefault="00514225" w:rsidP="005142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6854190" cy="716915"/>
            <wp:effectExtent l="0" t="0" r="3810" b="6985"/>
            <wp:docPr id="3" name="Picture 3" descr="D:\ParagrafLex\browser\Files\Old\t\t2012_03\t03_0130_s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ParagrafLex\browser\Files\Old\t\t2012_03\t03_0130_s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25" w:rsidRPr="00514225" w:rsidRDefault="00514225" w:rsidP="005142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6" w:name="str_7"/>
      <w:bookmarkEnd w:id="16"/>
      <w:r w:rsidRPr="0051422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 2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8201"/>
      </w:tblGrid>
      <w:tr w:rsidR="00514225" w:rsidRPr="00514225" w:rsidTr="00514225">
        <w:trPr>
          <w:tblCellSpacing w:w="0" w:type="dxa"/>
        </w:trPr>
        <w:tc>
          <w:tcPr>
            <w:tcW w:w="500" w:type="pct"/>
            <w:vMerge w:val="restart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428625" cy="749935"/>
                  <wp:effectExtent l="0" t="0" r="9525" b="0"/>
                  <wp:docPr id="2" name="Picture 2" descr="D:\ParagrafLex\browser\Files\Old\t\t2012_03\t03_0130_s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ParagrafLex\browser\Files\Old\t\t2012_03\t03_0130_s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Republika Srbija 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Agencija za hemikalije 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2"/>
      </w:tblGrid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8C8C"/>
            <w:vAlign w:val="center"/>
            <w:hideMark/>
          </w:tcPr>
          <w:p w:rsidR="00514225" w:rsidRPr="00514225" w:rsidRDefault="00514225" w:rsidP="00514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</w:pPr>
            <w:bookmarkStart w:id="17" w:name="str_8"/>
            <w:bookmarkEnd w:id="17"/>
            <w:r w:rsidRPr="00514225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  <w:t>OBAVEŠTENJE O NAČINU POSTUPANJA SA</w:t>
            </w:r>
            <w:r w:rsidRPr="00514225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sr-Latn-RS"/>
              </w:rPr>
              <w:br/>
              <w:t>OPASNIM HEMIKALIJAMA</w:t>
            </w:r>
          </w:p>
        </w:tc>
      </w:tr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Pre korišćenja opasnih hemikalija obavezno pročitajte uputstvo proizvođača. Uputstvo sadrži informacije o opasnim svojstvima i bezbednom rukovanju sa opasnim hemikalijama.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U domaćinstvu hemikalije treba držati u ormaru pod ključem, van domašaja dece.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Hemikalije ne treba držati u istom ormaru sa hranom i pićem.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Hemikalije uvek držati u dobro zatvorenoj originalnoj ambalaži kako bi se onemogućilo izlivanje sadržaja.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Nikada ne mešati hemikalije jer se ne mogu predvideti posledice (isparenja otrovnih gasova, požar, eksplozija, itd).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 xml:space="preserve">- Hemikalije prilikom korišćenja nikad ne ostavljati otvorene jer u trenutku nepažnje do njih </w:t>
            </w:r>
            <w:r w:rsidRPr="00514225">
              <w:rPr>
                <w:rFonts w:ascii="Arial" w:eastAsia="Times New Roman" w:hAnsi="Arial" w:cs="Arial"/>
                <w:lang w:eastAsia="sr-Latn-RS"/>
              </w:rPr>
              <w:lastRenderedPageBreak/>
              <w:t>lako mogu doći deca ili domaće životinje što može ugroziti njihovu bezbednost.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- U slučaju trovanja ili sumnje da je došlo do trovanja, treba ostati miran i postupiti u skladu sa uputstvom na pakovanju. Pozvati Centar za kontrolu trovanja radi dobijanja saveta (telefon: 011/266-2381, 011/3608-234), a po potrebi obratiti se svom lekaru.</w:t>
            </w:r>
          </w:p>
        </w:tc>
      </w:tr>
    </w:tbl>
    <w:p w:rsidR="00514225" w:rsidRPr="00514225" w:rsidRDefault="00514225" w:rsidP="005142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E0E0E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2"/>
      </w:tblGrid>
      <w:tr w:rsidR="00514225" w:rsidRPr="00514225" w:rsidTr="005142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O SADRŽAJU ETIKETE,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OPASNOSTIMA PO ZDRAVLJE LJUDI I ŽIVOTNU SREDINU,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PRAVILNOM RUKOVANJU OPASNIM HEMIKALIJAMA,</w:t>
            </w:r>
            <w:r w:rsidRPr="00514225">
              <w:rPr>
                <w:rFonts w:ascii="Arial" w:eastAsia="Times New Roman" w:hAnsi="Arial" w:cs="Arial"/>
                <w:lang w:eastAsia="sr-Latn-RS"/>
              </w:rPr>
              <w:br/>
              <w:t>MERAMA BEZBEDNOSTI PRILIKOM RUKOVANJA,</w:t>
            </w:r>
          </w:p>
          <w:p w:rsidR="00514225" w:rsidRPr="00514225" w:rsidRDefault="00514225" w:rsidP="005142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14225">
              <w:rPr>
                <w:rFonts w:ascii="Arial" w:eastAsia="Times New Roman" w:hAnsi="Arial" w:cs="Arial"/>
                <w:lang w:eastAsia="sr-Latn-RS"/>
              </w:rPr>
              <w:t>OBRATITE SE PRODAVCU.</w:t>
            </w:r>
          </w:p>
        </w:tc>
      </w:tr>
    </w:tbl>
    <w:p w:rsidR="00514225" w:rsidRPr="00514225" w:rsidRDefault="00514225" w:rsidP="005142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noProof/>
          <w:lang w:eastAsia="sr-Latn-RS"/>
        </w:rPr>
        <w:drawing>
          <wp:inline distT="0" distB="0" distL="0" distR="0">
            <wp:extent cx="6854190" cy="716915"/>
            <wp:effectExtent l="0" t="0" r="3810" b="6985"/>
            <wp:docPr id="1" name="Picture 1" descr="D:\ParagrafLex\browser\Files\Old\t\t2012_03\t03_0130_s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ParagrafLex\browser\Files\Old\t\t2012_03\t03_0130_s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536" w:rsidRDefault="00E54536"/>
    <w:sectPr w:rsidR="00E5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25"/>
    <w:rsid w:val="00514225"/>
    <w:rsid w:val="00E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14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422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1422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1422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1422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5142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5142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51422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51422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stepen1">
    <w:name w:val="stepen1"/>
    <w:basedOn w:val="DefaultParagraphFont"/>
    <w:rsid w:val="00514225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514225"/>
    <w:rPr>
      <w:sz w:val="15"/>
      <w:szCs w:val="15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14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422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1422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1422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1422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5142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5142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51422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51422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stepen1">
    <w:name w:val="stepen1"/>
    <w:basedOn w:val="DefaultParagraphFont"/>
    <w:rsid w:val="00514225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514225"/>
    <w:rPr>
      <w:sz w:val="15"/>
      <w:szCs w:val="15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2017-02-09T08:49:00Z</dcterms:created>
  <dcterms:modified xsi:type="dcterms:W3CDTF">2017-02-09T08:50:00Z</dcterms:modified>
</cp:coreProperties>
</file>