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E04C2" w:rsidRPr="003E04C2" w:rsidTr="003E04C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E04C2" w:rsidRPr="003E04C2" w:rsidRDefault="003E04C2" w:rsidP="003E04C2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3E04C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3E04C2" w:rsidRPr="003E04C2" w:rsidRDefault="003E04C2" w:rsidP="003E04C2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3E04C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SPECIFIČNIM ZAHTEVIMA ZA PAKOVANJE, OBELEŽAVANJE I OGLAŠAVANJE BIOCIDNOG PROIZVODA</w:t>
            </w:r>
          </w:p>
          <w:bookmarkEnd w:id="0"/>
          <w:p w:rsidR="003E04C2" w:rsidRPr="003E04C2" w:rsidRDefault="003E04C2" w:rsidP="003E04C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E04C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59/2010 i 26/2011)</w:t>
            </w:r>
          </w:p>
        </w:tc>
      </w:tr>
    </w:tbl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Ovim pravilnikom propisuju se specifični zahtevi za pakovanje, obeležavanje i oglašavanje biocidnog proizvoda.</w:t>
      </w:r>
    </w:p>
    <w:p w:rsidR="003E04C2" w:rsidRPr="003E04C2" w:rsidRDefault="003E04C2" w:rsidP="003E04C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1"/>
      <w:bookmarkEnd w:id="2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Specifični zahtevi za pakovanje biocidnog proizvoda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 xml:space="preserve">Biocidni proizvod koji korisnika može da dovede u zabludu u pogledu načina korišćenja, odnosno koga korisnik može pogrešno da smatra hranom za ljude, pićem ili hranom za životinje, pakuje se na način da se ova zabluda izbegne. 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Biocidni proizvod iz stava 1. ovog člana, koji je namenjen za opštu upotrebu, mora da sadrži sastojke koji korisnika odvraćaju od konzumiranja.</w:t>
      </w:r>
    </w:p>
    <w:p w:rsidR="003E04C2" w:rsidRPr="003E04C2" w:rsidRDefault="003E04C2" w:rsidP="003E04C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2"/>
      <w:bookmarkEnd w:id="4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Specifični zahtevi za obeležavanje biocidnog proizvoda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Etiketa biocidnog proizvoda, pored elemenata obeležavanja koji su u skladu sa propisima kojim se uređuje klasifikacija, pakovanje, obeležavanje i oglašavanje hemikalija, mora da sadrži i: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1) podatke o identitetu svih aktivnih supstanci i njihovu koncentraciju;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2) broj akta na osnovu kog se taj biocidni proizvod može staviti u promet i koristiti;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3) podatke o vrsti formulacije biocidnog proizvoda (tečna, granulat, prah, čvrsta itd.);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4) dozvoljene načine korišćenja biocidnog proizvoda (npr. zaštita drveta, dezinfekcija, suzbijanje glodara itd.);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5) uputstvo za upotrebu za dozvoljene načine korišćenja i dozu biocidnog proizvoda koja se preporučuje za primenu;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6) podatke o mogućim posrednim ili neposrednim štetnim efektima po zdravlje ljudi i životinja i životnu sredinu i uputstvo za prvu pomoć;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7) natpis: "Pročitati uputstvo pre upotrebe", ako se uz biocidni proizvod, pored etikete, prilaže i posebno uputstvo;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lastRenderedPageBreak/>
        <w:t>8) uputstvo za bezbedno odlaganje biocidnog proizvoda i njegove ambalaže, kao i zabranu ponovne upotrebe ambalaže, kada je to potrebno;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9) broj šarže ili oznaku serije, kao i rok upotrebe biocidnog proizvoda pri normalnim uslovima skladištenja;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10) podatke o načinu korišćenja biocidnog proizvoda i to: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- vreme potrebno za delovanje biocidnog proizvoda;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- vreme koje mora da prođe između dve primene biocidnog proizvoda, odnosno vreme koje mora da prođe između primene biocidnog proizvoda i ponovnog korišćenja tretirane površine ili ponovnog pristupa ljudi ili životinja prostoru, odnosno površini koja je tretirana;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- podatke o sredstvima i merama za dekontaminaciju i vremenu potrebnom za provetravanje prostora u kom se biocidni proizvod koristio;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- uputstvo za čišćenje opreme koja je korišćenja za primenu biocidnog proizvoda;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- podatke o merama zaštite pri korišćenju, skladištenju i transportu biocidnog proizvoda (npr. oprema za ličnu zaštitu, mere zaštite od požara; zaštita nameštaja, hrane za ljude i hrane za životinje, kao i uputstvo za zaštitu životinja od izloženosti biocidnom proizvodu);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11) podatke o korisnicima kojima je ograničeno korišćenje biocidnog proizvoda;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12) podatke o neprihvatljivim dejstvima biocidnog proizvoda na životnu sredinu, naročito podatke koji se odnose na zaštitu neciljnih organizama, kao i podatke koji se odnose na zaštitu površinskih, podzemnih voda i vode za piće od zagađivanja.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 xml:space="preserve">Podaci iz stava 1. tač. 11) i 12) ovog člana navode se na etiketi ako se mogu primeniti na taj biocidni proizvod. 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Etiketa biocidnog proizvoda koji sadrži aktivnu supstancu koja je mikroorganizam, pored podataka iz člana 3. ovog pravilnika, mora da sadrži i elemente obeležavanja koji su u skladu sa propisima kojima se uređuju preventivne mere za bezbedan i zdrav rad pri izlaganju biološkim agensima.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Etiketa biocidnog proizvoda ne sme da sadrži natpise koji korisnika mogu da dovedu u zabludu o tom biocidnom proizvodu, a naročito ne sme da sadrži natpis: "biocidni proizvod manjeg rizika", "netoksičan", "bezopasan" i sl.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6"/>
      <w:bookmarkEnd w:id="8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 xml:space="preserve">Podaci iz člana 3. stav 1. tač. 1), 2), 4), 7) i 11) ovog pravilnika moraju da se nalaze na etiketi. 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Ostali podaci mogu da se nalaze na drugom mestu na ambalaži ili na posebnom uputstvu iz člana 3. ovog pravilnika koje prati ambalažu biocidnog proizvoda.</w:t>
      </w:r>
    </w:p>
    <w:p w:rsidR="003E04C2" w:rsidRPr="003E04C2" w:rsidRDefault="003E04C2" w:rsidP="003E04C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3"/>
      <w:bookmarkEnd w:id="9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Specifični zahtevi za oglašavanje biocidnog proizvoda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7"/>
      <w:bookmarkEnd w:id="10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 xml:space="preserve">Оglašavanje biocidnog proizvoda, pored toga što mora da bude u skladu sa propisima kojima se uređuje oglašavanje hemikalija, mora da ispunjava i specifične zahteve i to: 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1) svaka oglasna poruka biocidnog proizvoda treba da sadrži jasno istaknutu rečenicu: "Bezbedno koristi biocidni proizvod. Pre korišćenja pročitaj etiketu i podatke o proizvodu";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2) sadržaj i izgled oglasne poruke ne sme korisnika da dovodi u zabludu u pogledu rizika koji biocidni proizvod predstavlja po zdravlje ljudi i životnu sredinu, a naročito ne sme da sadrži natpis: "biocidni proizvod manjeg rizika", "netoksičan", "bezopasan" i sl.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8"/>
      <w:bookmarkEnd w:id="11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Reči: "biocidni proizvod" u oglasnoj poruci mogu biti zamenjene rečima koje adekvatno opisuju vrstu biocidnog proizvoda koji se oglašava (npr. konzervans za zaštitu drveta, dezinficijens, sredstvo za suzbijanje obrastanja itd.).</w:t>
      </w:r>
    </w:p>
    <w:p w:rsidR="003E04C2" w:rsidRPr="003E04C2" w:rsidRDefault="003E04C2" w:rsidP="003E04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9"/>
      <w:bookmarkEnd w:id="12"/>
      <w:r w:rsidRPr="003E04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3E04C2" w:rsidRPr="003E04C2" w:rsidRDefault="003E04C2" w:rsidP="003E04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E04C2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A46877" w:rsidRDefault="00A46877"/>
    <w:sectPr w:rsidR="00A4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C2"/>
    <w:rsid w:val="003E04C2"/>
    <w:rsid w:val="00A4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E0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E04C2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3E04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E04C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E04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3E04C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E0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E04C2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3E04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E04C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E04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3E04C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2017-02-09T08:19:00Z</dcterms:created>
  <dcterms:modified xsi:type="dcterms:W3CDTF">2017-02-09T08:19:00Z</dcterms:modified>
</cp:coreProperties>
</file>