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6B73A6" w:rsidRPr="006B73A6" w:rsidTr="006B73A6">
        <w:trPr>
          <w:tblCellSpacing w:w="15" w:type="dxa"/>
        </w:trPr>
        <w:tc>
          <w:tcPr>
            <w:tcW w:w="0" w:type="auto"/>
            <w:shd w:val="clear" w:color="auto" w:fill="A41E1C"/>
            <w:vAlign w:val="center"/>
            <w:hideMark/>
          </w:tcPr>
          <w:p w:rsidR="006B73A6" w:rsidRPr="006B73A6" w:rsidRDefault="006B73A6" w:rsidP="006B73A6">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6B73A6">
              <w:rPr>
                <w:rFonts w:ascii="Arial" w:eastAsia="Times New Roman" w:hAnsi="Arial" w:cs="Arial"/>
                <w:b/>
                <w:bCs/>
                <w:color w:val="FFE8BF"/>
                <w:sz w:val="36"/>
                <w:szCs w:val="36"/>
                <w:lang w:eastAsia="sr-Latn-RS"/>
              </w:rPr>
              <w:t>PRAVILNIK</w:t>
            </w:r>
          </w:p>
          <w:p w:rsidR="006B73A6" w:rsidRPr="006B73A6" w:rsidRDefault="006B73A6" w:rsidP="006B73A6">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bookmarkStart w:id="0" w:name="_GoBack"/>
            <w:r w:rsidRPr="006B73A6">
              <w:rPr>
                <w:rFonts w:ascii="Arial" w:eastAsia="Times New Roman" w:hAnsi="Arial" w:cs="Arial"/>
                <w:b/>
                <w:bCs/>
                <w:color w:val="FFFFFF"/>
                <w:sz w:val="34"/>
                <w:szCs w:val="34"/>
                <w:lang w:eastAsia="sr-Latn-RS"/>
              </w:rPr>
              <w:t>O VRSTAMA BIOCIDNIH PROIZVODA</w:t>
            </w:r>
          </w:p>
          <w:bookmarkEnd w:id="0"/>
          <w:p w:rsidR="006B73A6" w:rsidRPr="006B73A6" w:rsidRDefault="006B73A6" w:rsidP="006B73A6">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6B73A6">
              <w:rPr>
                <w:rFonts w:ascii="Arial" w:eastAsia="Times New Roman" w:hAnsi="Arial" w:cs="Arial"/>
                <w:i/>
                <w:iCs/>
                <w:color w:val="FFE8BF"/>
                <w:sz w:val="26"/>
                <w:szCs w:val="26"/>
                <w:lang w:eastAsia="sr-Latn-RS"/>
              </w:rPr>
              <w:t>("Sl. glasnik RS", br. 23/2010)</w:t>
            </w:r>
          </w:p>
        </w:tc>
      </w:tr>
    </w:tbl>
    <w:p w:rsidR="006B73A6" w:rsidRPr="006B73A6" w:rsidRDefault="006B73A6" w:rsidP="006B73A6">
      <w:pPr>
        <w:spacing w:before="240" w:after="120" w:line="240" w:lineRule="auto"/>
        <w:jc w:val="center"/>
        <w:rPr>
          <w:rFonts w:ascii="Arial" w:eastAsia="Times New Roman" w:hAnsi="Arial" w:cs="Arial"/>
          <w:b/>
          <w:bCs/>
          <w:sz w:val="24"/>
          <w:szCs w:val="24"/>
          <w:lang w:eastAsia="sr-Latn-RS"/>
        </w:rPr>
      </w:pPr>
      <w:bookmarkStart w:id="1" w:name="clan_1"/>
      <w:bookmarkEnd w:id="1"/>
      <w:r w:rsidRPr="006B73A6">
        <w:rPr>
          <w:rFonts w:ascii="Arial" w:eastAsia="Times New Roman" w:hAnsi="Arial" w:cs="Arial"/>
          <w:b/>
          <w:bCs/>
          <w:sz w:val="24"/>
          <w:szCs w:val="24"/>
          <w:lang w:eastAsia="sr-Latn-RS"/>
        </w:rPr>
        <w:t>Član 1</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Ovim pravilnikom određuju se vrste biocidnih proizvoda prema načinu korišćenja, organizmu na koji deluju, prostoru u kojem se koriste i predmetu, odnosno površini koja se tretira.</w:t>
      </w:r>
    </w:p>
    <w:p w:rsidR="006B73A6" w:rsidRPr="006B73A6" w:rsidRDefault="006B73A6" w:rsidP="006B73A6">
      <w:pPr>
        <w:spacing w:before="240" w:after="120" w:line="240" w:lineRule="auto"/>
        <w:jc w:val="center"/>
        <w:rPr>
          <w:rFonts w:ascii="Arial" w:eastAsia="Times New Roman" w:hAnsi="Arial" w:cs="Arial"/>
          <w:b/>
          <w:bCs/>
          <w:sz w:val="24"/>
          <w:szCs w:val="24"/>
          <w:lang w:eastAsia="sr-Latn-RS"/>
        </w:rPr>
      </w:pPr>
      <w:bookmarkStart w:id="2" w:name="clan_2"/>
      <w:bookmarkEnd w:id="2"/>
      <w:r w:rsidRPr="006B73A6">
        <w:rPr>
          <w:rFonts w:ascii="Arial" w:eastAsia="Times New Roman" w:hAnsi="Arial" w:cs="Arial"/>
          <w:b/>
          <w:bCs/>
          <w:sz w:val="24"/>
          <w:szCs w:val="24"/>
          <w:lang w:eastAsia="sr-Latn-RS"/>
        </w:rPr>
        <w:t>Član 2</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Svakoj vrsti biocidnog proizvoda dodeljuje se oznaka proizvodne vrste ("</w:t>
      </w:r>
      <w:r w:rsidRPr="006B73A6">
        <w:rPr>
          <w:rFonts w:ascii="Arial" w:eastAsia="Times New Roman" w:hAnsi="Arial" w:cs="Arial"/>
          <w:i/>
          <w:iCs/>
          <w:lang w:eastAsia="sr-Latn-RS"/>
        </w:rPr>
        <w:t>product-type</w:t>
      </w:r>
      <w:r w:rsidRPr="006B73A6">
        <w:rPr>
          <w:rFonts w:ascii="Arial" w:eastAsia="Times New Roman" w:hAnsi="Arial" w:cs="Arial"/>
          <w:lang w:eastAsia="sr-Latn-RS"/>
        </w:rPr>
        <w:t>", u daljem tekstu: PT) i odgovarajući broj.</w:t>
      </w:r>
    </w:p>
    <w:p w:rsidR="006B73A6" w:rsidRPr="006B73A6" w:rsidRDefault="006B73A6" w:rsidP="006B73A6">
      <w:pPr>
        <w:spacing w:before="240" w:after="120" w:line="240" w:lineRule="auto"/>
        <w:jc w:val="center"/>
        <w:rPr>
          <w:rFonts w:ascii="Arial" w:eastAsia="Times New Roman" w:hAnsi="Arial" w:cs="Arial"/>
          <w:b/>
          <w:bCs/>
          <w:sz w:val="24"/>
          <w:szCs w:val="24"/>
          <w:lang w:eastAsia="sr-Latn-RS"/>
        </w:rPr>
      </w:pPr>
      <w:bookmarkStart w:id="3" w:name="clan_3"/>
      <w:bookmarkEnd w:id="3"/>
      <w:r w:rsidRPr="006B73A6">
        <w:rPr>
          <w:rFonts w:ascii="Arial" w:eastAsia="Times New Roman" w:hAnsi="Arial" w:cs="Arial"/>
          <w:b/>
          <w:bCs/>
          <w:sz w:val="24"/>
          <w:szCs w:val="24"/>
          <w:lang w:eastAsia="sr-Latn-RS"/>
        </w:rPr>
        <w:t>Član 3</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Vrste biocidnih proizvoda razvrstavaju se u grupe, i to:</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1) Dezinficijensi i biocidni proizvodi za opštu upotrebu;</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2) Konzervansi;</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3) Biocidni proizvodi za suzbijanje štetočina;</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4) Ostale vrste biocidnih proizvoda.</w:t>
      </w:r>
    </w:p>
    <w:p w:rsidR="006B73A6" w:rsidRPr="006B73A6" w:rsidRDefault="006B73A6" w:rsidP="006B73A6">
      <w:pPr>
        <w:spacing w:before="240" w:after="120" w:line="240" w:lineRule="auto"/>
        <w:jc w:val="center"/>
        <w:rPr>
          <w:rFonts w:ascii="Arial" w:eastAsia="Times New Roman" w:hAnsi="Arial" w:cs="Arial"/>
          <w:b/>
          <w:bCs/>
          <w:sz w:val="24"/>
          <w:szCs w:val="24"/>
          <w:lang w:eastAsia="sr-Latn-RS"/>
        </w:rPr>
      </w:pPr>
      <w:bookmarkStart w:id="4" w:name="clan_4"/>
      <w:bookmarkEnd w:id="4"/>
      <w:r w:rsidRPr="006B73A6">
        <w:rPr>
          <w:rFonts w:ascii="Arial" w:eastAsia="Times New Roman" w:hAnsi="Arial" w:cs="Arial"/>
          <w:b/>
          <w:bCs/>
          <w:sz w:val="24"/>
          <w:szCs w:val="24"/>
          <w:lang w:eastAsia="sr-Latn-RS"/>
        </w:rPr>
        <w:t>Član 4</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U grupu Dezinficijensi i biocidni proizvodi za opštu upotrebu spadaju sledeće vrste biocidnih proizvoda:</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1) Biocidni proizvodi za ličnu higijenu ljudi (PT 1)</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održavanje lične higijene ljudi.</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2) Dezinficijensi i drugi biocidni proizvodi koji se koriste u domaćinstvu i u objektima javnog zdravlja (PT 2)</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u domaćinstvima, javnim i industrijskim objektima, uključujući i bolnice za dezinfekciju vazduha, površina, materijala, opreme i nameštaja koji nisu u direktnom kontaktu sa hranom za ljude ili životinje. U ovu vrstu spadaju i biocidni proizvodi koji se koriste kao algacidi.</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između ostalog, u bazenima, akvarijumima, vodi za kupanje i druge svrhe; u klima uređajima; za zidove i podove u zdravstvenim i drugim ustanovama; hemijske toalete, otpadne vode, bolnički otpad, zemljište ili druge podloge (na igralištima).</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3) Biocidni proizvodi za higijenu u veterini (PT 3)</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lastRenderedPageBreak/>
        <w:t>Ova vrsta biocidnih proizvoda koristi se za održavanje higijene u veterini, uključujući proizvode koji se koriste u prostorima u kojima se životinje drže, čuvaju ili transportuju.</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4) Dezinficijensi koji se koriste za površine koje dolaze u kontakt sa hranom za ljude i životinje (PT 4)</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dezinfekciju opreme, ambalaže, pribora za jelo, površina ili cevovoda koji dolaze u kontakt sa hranom ili pićem (uključujući vodu za piće) u toku proizvodnje, transporta, skladištenja ili potrošnje.</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5) Dezinficijensi za vodu za piće (PT 5)</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dezinfekciju vode za piće za ljude i životinje.</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U vrste biocidnih proizvoda iz stava 1. ovog člana ne spadaju sredstva za čišćenje, uključujući detergente i slične proizvode koja nemaju biocidno dejstvo.</w:t>
      </w:r>
    </w:p>
    <w:p w:rsidR="006B73A6" w:rsidRPr="006B73A6" w:rsidRDefault="006B73A6" w:rsidP="006B73A6">
      <w:pPr>
        <w:spacing w:before="240" w:after="120" w:line="240" w:lineRule="auto"/>
        <w:jc w:val="center"/>
        <w:rPr>
          <w:rFonts w:ascii="Arial" w:eastAsia="Times New Roman" w:hAnsi="Arial" w:cs="Arial"/>
          <w:b/>
          <w:bCs/>
          <w:sz w:val="24"/>
          <w:szCs w:val="24"/>
          <w:lang w:eastAsia="sr-Latn-RS"/>
        </w:rPr>
      </w:pPr>
      <w:bookmarkStart w:id="5" w:name="clan_5"/>
      <w:bookmarkEnd w:id="5"/>
      <w:r w:rsidRPr="006B73A6">
        <w:rPr>
          <w:rFonts w:ascii="Arial" w:eastAsia="Times New Roman" w:hAnsi="Arial" w:cs="Arial"/>
          <w:b/>
          <w:bCs/>
          <w:sz w:val="24"/>
          <w:szCs w:val="24"/>
          <w:lang w:eastAsia="sr-Latn-RS"/>
        </w:rPr>
        <w:t>Član 5</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U grupu Konzervansi spadaju sledeće vrste biocidnih proizvoda:</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1) Konzervansi za zaštitu gotovih proizvoda (PT 6)</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zaštitu gotovih proizvoda (osim hrane za ljude i životinje) dok su u originalnoj ambalaži, od štetnog delovanja mikroorganizama, kako bi se očuvao kvalitet proizvoda do naznačenog roka upotrebe.</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2) Konzervansi za zaštitu filmova (PT 7)</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zaštitu filmova ili premaza od štetnog delovanja mikroorganizama, kako bi se očuvale početne osobine površine materijala ili predmeta kao što su boje, plastika, zaptivna sredstva, zidne tapete, papir i umetnička dela.</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3) Konzervansi za zaštitu drveta (PT 8)</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zaštitu drveta, od momenta njegovog dopremanja u strugaru uključujući i samu obradu drveta u strugari, ili proizvoda od drveta, od organizama koji uništavaju ili oštećuju drvo.</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U ovu vrstu biocidnih proizvoda spadaju i preventivni i kurativni biocidni proizvodi (biocidni proizvodi koji sprečavaju, odnosno uklanjaju nastala oštećenja).</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4) Konzervansi za zaštitu vlakna, kože, gume i polimernih materijala (PT 9)</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 xml:space="preserve">Ova vrsta biocidnih proizvoda koristi se za zaštitu vlaknastih ili polimernih materijala, kao što su proizvodi od kože, gume, papira ili tekstila, kao i same gume od štetnog delovanja mikroorganizama. </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5) Konzervansi za zaštitu u građevinarstvu (PT 10)</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 xml:space="preserve">Ova vrsta biocidnih proizvoda koristi se za zaštitu i naknadni tretman građevinskih ili drugih konstrukcionih materijala, izuzev drveta, od štetnog delovanja mikroorganizama i algi. </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lastRenderedPageBreak/>
        <w:t>6) Konzervansi za zaštitu tečnosti u rashladnim i procesnim sistemima (PT 11)</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zaštitu vode ili drugih tečnosti koje se koriste u rashladnim i procesnim sistemima, od štetnog delovanja organizama kao što su mikroorganizmi, alge i školjke.</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ne uključuje dezificijense za vodu za piće.</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7) Slimicidi (PT 12)</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sprečavanje ili suzbijanje razvoja sluzi na materijalima, opremi i predmetima koji se koriste u industrijskim procesima, npr. na drvenoj ili papirnoj pulpi ili poroznom peščanom sloju koji se koristi pri ekstrakciji nafte.</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8) Konzervansi za zaštitu fluida koji se koriste pri obradi metala (PT 13)</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zaštitu fluida koji se koriste pri obradi metala od štetnog delovanja mikroorganizama.</w:t>
      </w:r>
    </w:p>
    <w:p w:rsidR="006B73A6" w:rsidRPr="006B73A6" w:rsidRDefault="006B73A6" w:rsidP="006B73A6">
      <w:pPr>
        <w:spacing w:before="240" w:after="120" w:line="240" w:lineRule="auto"/>
        <w:jc w:val="center"/>
        <w:rPr>
          <w:rFonts w:ascii="Arial" w:eastAsia="Times New Roman" w:hAnsi="Arial" w:cs="Arial"/>
          <w:b/>
          <w:bCs/>
          <w:sz w:val="24"/>
          <w:szCs w:val="24"/>
          <w:lang w:eastAsia="sr-Latn-RS"/>
        </w:rPr>
      </w:pPr>
      <w:bookmarkStart w:id="6" w:name="clan_6"/>
      <w:bookmarkEnd w:id="6"/>
      <w:r w:rsidRPr="006B73A6">
        <w:rPr>
          <w:rFonts w:ascii="Arial" w:eastAsia="Times New Roman" w:hAnsi="Arial" w:cs="Arial"/>
          <w:b/>
          <w:bCs/>
          <w:sz w:val="24"/>
          <w:szCs w:val="24"/>
          <w:lang w:eastAsia="sr-Latn-RS"/>
        </w:rPr>
        <w:t>Član 6</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U grupu Biocidnih proizvoda za suzbijanje štetočina spadaju sledeće vrste biocidnih proizvoda:</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1) Rodenticidi (PT 14)</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suzbijanje miševa, pacova i drugih glodara.</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2) Avicidi (PT 15)</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suzbijanje ptica.</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3) Moluskocidi (PT 16)</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suzbijanje mekušaca.</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4) Piscicidi (PT 17)</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suzbijanje riba. U ovu vrstu biocidnih proizvoda ne spadaju proizvodi koji se koriste za lečenje bolesti riba.</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5) Insekticidi, akaricidi i proizvodi za suzbijanje ostalih zglavkara (PT 18)</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suzbijanje zglavkara (npr. insekata, paukova, rakova).</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6) Repelenti i atraktanti (PT 19)</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 xml:space="preserve">Ova vrsta biocidnih proizvoda koristi se za suzbijanje štetnih organizama (beskičmenjaka kao što su buve i kičmenjaka kao što su ptice) odbijanjem ili privlačenjem. U ovu vrstu biocidnih proizvoda spadaju proizvodi koji se direktno ili indirektno koriste za ličnu higijenu ljudi ili za higijenu u veterini. </w:t>
      </w:r>
    </w:p>
    <w:p w:rsidR="006B73A6" w:rsidRPr="006B73A6" w:rsidRDefault="006B73A6" w:rsidP="006B73A6">
      <w:pPr>
        <w:spacing w:before="240" w:after="120" w:line="240" w:lineRule="auto"/>
        <w:jc w:val="center"/>
        <w:rPr>
          <w:rFonts w:ascii="Arial" w:eastAsia="Times New Roman" w:hAnsi="Arial" w:cs="Arial"/>
          <w:b/>
          <w:bCs/>
          <w:sz w:val="24"/>
          <w:szCs w:val="24"/>
          <w:lang w:eastAsia="sr-Latn-RS"/>
        </w:rPr>
      </w:pPr>
      <w:bookmarkStart w:id="7" w:name="clan_7"/>
      <w:bookmarkEnd w:id="7"/>
      <w:r w:rsidRPr="006B73A6">
        <w:rPr>
          <w:rFonts w:ascii="Arial" w:eastAsia="Times New Roman" w:hAnsi="Arial" w:cs="Arial"/>
          <w:b/>
          <w:bCs/>
          <w:sz w:val="24"/>
          <w:szCs w:val="24"/>
          <w:lang w:eastAsia="sr-Latn-RS"/>
        </w:rPr>
        <w:lastRenderedPageBreak/>
        <w:t>Član 7</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U grupu Ostale vrste biocidnih proizvoda spadaju sledeće vrste biocidnih proizvoda:</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1) Konzervansi za hranu ili hranu za životinje (PT 20)</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 xml:space="preserve">Ova vrsta biocidnih proizvoda koristi se za zaštitu hrane ili hrane za životinje od štetnih organizama. </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2) Sredstva za suzbijanje obrastanja (eng. antifauling proizvodi) (PT 21)</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suzbijanje razvoja i nastanjivanja nepoželjnih organizama (mikroorganizama i složenijih biljnih ili životinjskih vrsta) na čamcima, opremi i predmetima koji se koriste u vodi.</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3) Tečnosti za balsamovanje i prepariranje (PT 22)</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dezinfekciju i zaštitu ljudskih ili životinjskih leševa i njihovih delova.</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4) Proizvodi za suzbijanje drugih kičmenjaka (PT 23)</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 vrsta biocidnih proizvoda koristi se za suzbijanje drugih štetočina koje se ne mogu suzbiti drugim vrstama biocidnih proizvoda.</w:t>
      </w:r>
    </w:p>
    <w:p w:rsidR="006B73A6" w:rsidRPr="006B73A6" w:rsidRDefault="006B73A6" w:rsidP="006B73A6">
      <w:pPr>
        <w:spacing w:before="240" w:after="120" w:line="240" w:lineRule="auto"/>
        <w:jc w:val="center"/>
        <w:rPr>
          <w:rFonts w:ascii="Arial" w:eastAsia="Times New Roman" w:hAnsi="Arial" w:cs="Arial"/>
          <w:b/>
          <w:bCs/>
          <w:sz w:val="24"/>
          <w:szCs w:val="24"/>
          <w:lang w:eastAsia="sr-Latn-RS"/>
        </w:rPr>
      </w:pPr>
      <w:bookmarkStart w:id="8" w:name="clan_8"/>
      <w:bookmarkEnd w:id="8"/>
      <w:r w:rsidRPr="006B73A6">
        <w:rPr>
          <w:rFonts w:ascii="Arial" w:eastAsia="Times New Roman" w:hAnsi="Arial" w:cs="Arial"/>
          <w:b/>
          <w:bCs/>
          <w:sz w:val="24"/>
          <w:szCs w:val="24"/>
          <w:lang w:eastAsia="sr-Latn-RS"/>
        </w:rPr>
        <w:t>Član 8</w:t>
      </w:r>
    </w:p>
    <w:p w:rsidR="006B73A6" w:rsidRPr="006B73A6" w:rsidRDefault="006B73A6" w:rsidP="006B73A6">
      <w:pPr>
        <w:spacing w:before="100" w:beforeAutospacing="1" w:after="100" w:afterAutospacing="1" w:line="240" w:lineRule="auto"/>
        <w:rPr>
          <w:rFonts w:ascii="Arial" w:eastAsia="Times New Roman" w:hAnsi="Arial" w:cs="Arial"/>
          <w:lang w:eastAsia="sr-Latn-RS"/>
        </w:rPr>
      </w:pPr>
      <w:r w:rsidRPr="006B73A6">
        <w:rPr>
          <w:rFonts w:ascii="Arial" w:eastAsia="Times New Roman" w:hAnsi="Arial" w:cs="Arial"/>
          <w:lang w:eastAsia="sr-Latn-RS"/>
        </w:rPr>
        <w:t>Ovaj pravilnik stupa na snagu osmog dana od dana objavljivanja u "Službenom glasniku RS".</w:t>
      </w:r>
    </w:p>
    <w:p w:rsidR="003D57F3" w:rsidRDefault="003D57F3"/>
    <w:sectPr w:rsidR="003D57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A6"/>
    <w:rsid w:val="003D57F3"/>
    <w:rsid w:val="006B73A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B73A6"/>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B73A6"/>
    <w:rPr>
      <w:rFonts w:ascii="Times New Roman" w:eastAsia="Times New Roman" w:hAnsi="Times New Roman" w:cs="Times New Roman"/>
      <w:b/>
      <w:bCs/>
      <w:sz w:val="24"/>
      <w:szCs w:val="24"/>
      <w:lang w:eastAsia="sr-Latn-RS"/>
    </w:rPr>
  </w:style>
  <w:style w:type="paragraph" w:customStyle="1" w:styleId="clan">
    <w:name w:val="clan"/>
    <w:basedOn w:val="Normal"/>
    <w:rsid w:val="006B73A6"/>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6B73A6"/>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6B73A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B73A6"/>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B73A6"/>
    <w:rPr>
      <w:rFonts w:ascii="Times New Roman" w:eastAsia="Times New Roman" w:hAnsi="Times New Roman" w:cs="Times New Roman"/>
      <w:b/>
      <w:bCs/>
      <w:sz w:val="24"/>
      <w:szCs w:val="24"/>
      <w:lang w:eastAsia="sr-Latn-RS"/>
    </w:rPr>
  </w:style>
  <w:style w:type="paragraph" w:customStyle="1" w:styleId="clan">
    <w:name w:val="clan"/>
    <w:basedOn w:val="Normal"/>
    <w:rsid w:val="006B73A6"/>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6B73A6"/>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6B73A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22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2017-02-09T08:23:00Z</dcterms:created>
  <dcterms:modified xsi:type="dcterms:W3CDTF">2017-02-09T08:24:00Z</dcterms:modified>
</cp:coreProperties>
</file>