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66" w:rsidRPr="00605566" w:rsidRDefault="00605566" w:rsidP="00605566">
      <w:pPr>
        <w:spacing w:after="0" w:line="240" w:lineRule="auto"/>
        <w:rPr>
          <w:rFonts w:ascii="Times New Roman" w:eastAsia="Times New Roman" w:hAnsi="Times New Roman" w:cs="Times New Roman"/>
          <w:vanish/>
          <w:lang w:eastAsia="sr-Latn-RS"/>
        </w:rPr>
      </w:pP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605566" w:rsidRPr="00605566" w:rsidTr="005108A3">
        <w:trPr>
          <w:tblCellSpacing w:w="15" w:type="dxa"/>
        </w:trPr>
        <w:tc>
          <w:tcPr>
            <w:tcW w:w="0" w:type="auto"/>
            <w:shd w:val="clear" w:color="auto" w:fill="A41E1C"/>
            <w:vAlign w:val="center"/>
            <w:hideMark/>
          </w:tcPr>
          <w:p w:rsidR="00605566" w:rsidRPr="00605566" w:rsidRDefault="00605566" w:rsidP="00605566">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605566">
              <w:rPr>
                <w:rFonts w:ascii="Arial" w:eastAsia="Times New Roman" w:hAnsi="Arial" w:cs="Arial"/>
                <w:b/>
                <w:bCs/>
                <w:color w:val="FFE8BF"/>
                <w:sz w:val="36"/>
                <w:szCs w:val="36"/>
                <w:lang w:eastAsia="sr-Latn-RS"/>
              </w:rPr>
              <w:t>PRAVILNIK</w:t>
            </w:r>
          </w:p>
          <w:p w:rsidR="00605566" w:rsidRPr="00605566" w:rsidRDefault="00605566" w:rsidP="00605566">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605566">
              <w:rPr>
                <w:rFonts w:ascii="Arial" w:eastAsia="Times New Roman" w:hAnsi="Arial" w:cs="Arial"/>
                <w:b/>
                <w:bCs/>
                <w:color w:val="FFFFFF"/>
                <w:sz w:val="34"/>
                <w:szCs w:val="34"/>
                <w:lang w:eastAsia="sr-Latn-RS"/>
              </w:rPr>
              <w:t>O OBAVEZNIM ZDRAVSTVENIM PREGLEDIMA ODREĐENIH KATEGORIJA ZAPOSLENIH LICA U OBJEKTIMA POD SANITARNIM NADZOROM, OBAVEZNIM I PREPORUČENIM ZDRAVSTVENIM PREGLEDIMA KOJIMA PODLEŽU ODREĐENE KATEGORIJE STANOVNIŠTVA</w:t>
            </w:r>
          </w:p>
          <w:p w:rsidR="00605566" w:rsidRPr="00605566" w:rsidRDefault="00605566" w:rsidP="0060556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605566">
              <w:rPr>
                <w:rFonts w:ascii="Arial" w:eastAsia="Times New Roman" w:hAnsi="Arial" w:cs="Arial"/>
                <w:i/>
                <w:iCs/>
                <w:color w:val="FFE8BF"/>
                <w:sz w:val="26"/>
                <w:szCs w:val="26"/>
                <w:lang w:eastAsia="sr-Latn-RS"/>
              </w:rPr>
              <w:t>("Sl. glasnik RS", br. 3/2017)</w:t>
            </w:r>
          </w:p>
        </w:tc>
      </w:tr>
    </w:tbl>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 w:name="clan_1"/>
      <w:bookmarkEnd w:id="1"/>
      <w:r w:rsidRPr="00605566">
        <w:rPr>
          <w:rFonts w:ascii="Arial" w:eastAsia="Times New Roman" w:hAnsi="Arial" w:cs="Arial"/>
          <w:b/>
          <w:bCs/>
          <w:sz w:val="24"/>
          <w:szCs w:val="24"/>
          <w:lang w:eastAsia="sr-Latn-RS"/>
        </w:rPr>
        <w:t xml:space="preserve">Član 1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Ovim pravilnikom propisuju se vrste obaveznih i preporučenih zdravstvenih pregleda određenih kategorija zaposlenih, drugih lica i kliconoša, uslovi, rokovi i način sprovođenja tih pregleda i izveštavanje, određuju zarazne bolesti i nosilaštvo određenih mikroorganizama i specifičnih antitela koji predstavljaju razlog zbog kojeg se određeni poslovi ne mogu obavljati ili se moraju preduzeti opšte ili posebne mere zaštite od zaraznih bolesti.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 w:name="clan_2"/>
      <w:bookmarkEnd w:id="2"/>
      <w:r w:rsidRPr="00605566">
        <w:rPr>
          <w:rFonts w:ascii="Arial" w:eastAsia="Times New Roman" w:hAnsi="Arial" w:cs="Arial"/>
          <w:b/>
          <w:bCs/>
          <w:sz w:val="24"/>
          <w:szCs w:val="24"/>
          <w:lang w:eastAsia="sr-Latn-RS"/>
        </w:rPr>
        <w:t xml:space="preserve">Član 2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Obaveznom zdravstvenom pregledu, u skladu sa Zakonom o zaštiti stanovništva od zaraznih bolesti (u daljem tekstu: Zakon) i ovim pravilnikom, podležu lica zaposlena na poslovima: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javnog snabdevanja stanovništva vodom za piće, proizvodnje, prometa, usluživanja hrane i drugim poslovima u kojim dolaze u neposredan kontakt s hranom ili ambalažom koja je u direktnom kontaktu s hranom;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ishrane, nege i održavanja higijene u predškolskim ustanovama, ustanovama za kolektivni smeštaj dece i omladine (đački i studentski domovi, odmarališta i dr.), ustanovama socijalne zaštite za smeštaj određenih kategorija lica (stara lica sa posebnim potrebama, deca bez roditeljskog staranja i dr.);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zdravstvenih pregleda, lečenja, nege i ishrane bolesnika, na poslovima održavanja higijene, na odeljenjima sa povećanim rizikom od zaraze, u zdravstvenim ustanovama i drugim oblicima zdravstvene službe, i to: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(1) na odeljenjima za akušerstvo sa boksovima za novorođenu decu;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(2) na odeljenjima za prevremeno rođenu decu;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(3) na dečijim odeljenjima zdravstvenih ustanova u kojima se obavlja stacionarna zdravstvena zaštita;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(4) u operacionim blokovima;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(5) na odeljenjima intenzivne nege;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(6) na odeljenjima za lečenje opekotina i transplantacije tkiva i organa;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lastRenderedPageBreak/>
        <w:t xml:space="preserve">(7) na odeljenjima za hemodijalizu i peritonealnu dijalizu;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(8) na odeljenjima onkologije i palijativne nege;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proizvodnje, prometa i izdavanja lekova i medicinskih sredstava, odnosno koji na drugi način dolaze u neposredan kontakt sa lekovima i medicinskim sredstvima;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pružanja higijenske nege i ulepšavanja lica i tela i poslovima pružanja nemedicinskih estetskih intervencija kojima se narušava integritet kože (javna kupališta, "wellness" centri, berberske, frizerske, maserske, pedikirske, manikirske, kozmetičke usluge, kao i usluge depilacije, tetovaže, pirsinga i sl.) kao i na poslovima proizvodnje kozmetičkih sredstava;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6) obavljanje obavezne prakse u toku školovanja u objektima u kojima se obavljaju delatnosti utvrđene u stavu 1. ovog člana.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 w:name="clan_3"/>
      <w:bookmarkEnd w:id="3"/>
      <w:r w:rsidRPr="00605566">
        <w:rPr>
          <w:rFonts w:ascii="Arial" w:eastAsia="Times New Roman" w:hAnsi="Arial" w:cs="Arial"/>
          <w:b/>
          <w:bCs/>
          <w:sz w:val="24"/>
          <w:szCs w:val="24"/>
          <w:lang w:eastAsia="sr-Latn-RS"/>
        </w:rPr>
        <w:t xml:space="preserve">Član 3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iz člana 2. ovog pravilnika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obavezni zdravstveni pregled pre započinjanja obavljanja delatnosti ili pre započinjanja obavezne prakse lica;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obavezni zdravstveni pregled tokom obavljanja delatnosti na šest ili dvanaest meseci, a po epidemiološkim i kliničkim indikacijama i ranije;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obavezni zdravstveni pregled radi utvrđivanja nosilaštva uzročnika zaraznih bolesti;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preporučeni zdravstveni pregled radi utvrđivanja nosilaštva uzročnika zaraznih bolesti.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Pregled doktora medicine obuhvata anamnezu, status i laboratorijski pregled uzetog biološkog materijala, u skladu sa Zakonom, ovim pravilnikom i stručno metodološkim uputstvima. Doktor medicine o izvršenim obaveznim i preporučenim zdravstvenim pregledima, vodi medicinsku dokumentaciju, evidencije i dostavlja izveštaje u skladu sa zakonom.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Lica zaposlena na poslovima iz člana 2. tač. 1) i 2) ovog pravilnika, u periodu između dva obavezna zdravstvena pregleda, svaku promenu u zdravstvenom stanju (pojava povišene temperature, povraćanje, proliv, kašalj, kijanje, curenje nosa, promena na koži i sl.) mora prijaviti odgovornom licu u pravnom licu ili preduzetniku, koji postupaju u skladu sa zakonom.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4" w:name="clan_4"/>
      <w:bookmarkEnd w:id="4"/>
      <w:r w:rsidRPr="00605566">
        <w:rPr>
          <w:rFonts w:ascii="Arial" w:eastAsia="Times New Roman" w:hAnsi="Arial" w:cs="Arial"/>
          <w:b/>
          <w:bCs/>
          <w:sz w:val="24"/>
          <w:szCs w:val="24"/>
          <w:lang w:eastAsia="sr-Latn-RS"/>
        </w:rPr>
        <w:t xml:space="preserve">Član 4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 lica zaposlenih na poslovima javnog snabdevanja stanovništva vodom za piće kao i lica koja dolaze u kontakt sa vodom i ambalažom u neposrednom kontaktu sa vodom, u proizvodnji flaširane vode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 anamneza, na zarazne bolesti koje se mogu preneti vodom za piće;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pregled doktora medicine na gnojna, gljivična i parazitarna oboljenja kože, nokti i dlake i vidljive sluzokože;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stolice na Salmonellae i Shigellae;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4) laboratorijski pregled stolice na crevne protozoe (Lamblia intestinalis, Entamoeba histolytica).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lica zaposlenih na poslovima iz stava 1. ovog člana obavlja se na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5" w:name="clan_5"/>
      <w:bookmarkEnd w:id="5"/>
      <w:r w:rsidRPr="00605566">
        <w:rPr>
          <w:rFonts w:ascii="Arial" w:eastAsia="Times New Roman" w:hAnsi="Arial" w:cs="Arial"/>
          <w:b/>
          <w:bCs/>
          <w:sz w:val="24"/>
          <w:szCs w:val="24"/>
          <w:lang w:eastAsia="sr-Latn-RS"/>
        </w:rPr>
        <w:t xml:space="preserve">Član 5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 lica koja obavljaju poslove u proizvodnji, prometu, usluživanju hrane i drugim poslovima u kojima dolaze u neposredan kontakt s hranom ili ambalažom koja je u neposrednom kontaktu s hranom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 anamneza na zarazne bolesti koje se mogu preneti hranom;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pregled doktora medicine na gnojna, gljivična i parazitarna oboljenja kože, nokti i dlake, vidljive sluzokože, a prema epidemiološkim i kliničkim indikacijama i pregled na tuberkulozu pluća;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brisa ždrela i nosa na Staphylococcus aureus, koagulaza pozitivan;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pregled stolice na Salmonellae i Shigellae;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laboratorijski pregled stolice na crevne protozoe (Lamblia intestinalis, Entamoeba histolytica).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lica zaposlenih na poslovima iz stava 1. ovog člana obavlja se na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6" w:name="clan_6"/>
      <w:bookmarkEnd w:id="6"/>
      <w:r w:rsidRPr="00605566">
        <w:rPr>
          <w:rFonts w:ascii="Arial" w:eastAsia="Times New Roman" w:hAnsi="Arial" w:cs="Arial"/>
          <w:b/>
          <w:bCs/>
          <w:sz w:val="24"/>
          <w:szCs w:val="24"/>
          <w:lang w:eastAsia="sr-Latn-RS"/>
        </w:rPr>
        <w:t xml:space="preserve">Član 6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 lica zaposlenih na poslovima ishrane i nege dece u jaslenim grupama i održavanja higijene u predškolskim ustanovama, ustanovama za kolektivni smeštaj dece i omladine i ustanovama socijalne zaštite za smeštaj određenih kategorija lica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na gnojna, gljivična i parazitarna oboljenja kože, nokti i dlake, vidljive sluzokože i tuberkulozu pluća;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rentgensko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 laboratorijski pregled brisa ždrela i nosa na Staphylococcus aureus, koagulaza pozitivan;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 laboratorijski pregled stolice na Salmonellae i Shigellae;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laboratorijski pregled stolice na crevne protozoe (Lamblia intestinalis, Entamoeba histolytica).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zaposlenih na poslovima iz stava 1. ovog člana obavlja se na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7" w:name="clan_7"/>
      <w:bookmarkEnd w:id="7"/>
      <w:r w:rsidRPr="00605566">
        <w:rPr>
          <w:rFonts w:ascii="Arial" w:eastAsia="Times New Roman" w:hAnsi="Arial" w:cs="Arial"/>
          <w:b/>
          <w:bCs/>
          <w:sz w:val="24"/>
          <w:szCs w:val="24"/>
          <w:lang w:eastAsia="sr-Latn-RS"/>
        </w:rPr>
        <w:t xml:space="preserve">Član 7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Obavezni zdravstveni pregled lica zaposlenih na poslovima zdravstvenih pregleda, lečenja i drugim oblicima zdravstvene službe, na odeljenjima utvrđenim u članu 2. tačka 3) ovog pravilnika obuhvata pregled doktora medicine na gnojna i gljivična oboljenja kože, noktiju i dlake i pregled vidljive sluzokože.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lica iz stava 1. ovog člana obavlja se jednom godišnje.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8" w:name="clan_8"/>
      <w:bookmarkEnd w:id="8"/>
      <w:r w:rsidRPr="00605566">
        <w:rPr>
          <w:rFonts w:ascii="Arial" w:eastAsia="Times New Roman" w:hAnsi="Arial" w:cs="Arial"/>
          <w:b/>
          <w:bCs/>
          <w:sz w:val="24"/>
          <w:szCs w:val="24"/>
          <w:lang w:eastAsia="sr-Latn-RS"/>
        </w:rPr>
        <w:t xml:space="preserve">Član 8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zaposlenih na poslovima nege i ishrane bolesnika i poslovima održavanja higijene u zdravstvenim ustanovama i drugim oblicima zdravstvene službe, na odeljenjima utvrđenim u članu 2. tačka 3. ovog pravilnika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na gnojna, gljivična i parazitarna oboljenja kože, nokti i dlake, vidljive sluzokože i tuberkulozu pluća;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rentgensko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brisa ždrela i nosa na Staphylococcus aureus, koagulaza pozitivan;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pregled stolice na Salmonellae i Shigellae;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laboratorijski pregled stolice na crevne protozoe (Lamblia intestinalis, Entamoeba histolytica).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iz stava 1. ovog člana obavljaju se na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9" w:name="clan_9"/>
      <w:bookmarkEnd w:id="9"/>
      <w:r w:rsidRPr="00605566">
        <w:rPr>
          <w:rFonts w:ascii="Arial" w:eastAsia="Times New Roman" w:hAnsi="Arial" w:cs="Arial"/>
          <w:b/>
          <w:bCs/>
          <w:sz w:val="24"/>
          <w:szCs w:val="24"/>
          <w:lang w:eastAsia="sr-Latn-RS"/>
        </w:rPr>
        <w:t xml:space="preserve">Član 9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lica zaposlenih na poslovima proizvodnje i izrade lekova i medicinskih sredstava, odnosno koji na drugi način dolaze u neposredan kontakt sa lekovima i medicinskim sredstvima,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na gnojna, gljivična i parazitarna oboljenja kože, nokti i dlake, vidljive sluzokože i tuberkulozu pluća;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rentgensko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brisa ždrela i nosa na Staphylococcus aureus, koagulaza pozitivan;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pregled stolice na Salmonellae i Shigellae;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laboratorijski pregled stolice na crevne protozoe (Lamblia intestinalis, Entamoeba histolytica).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iz stava 1. ovog člana obavljaju se na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0" w:name="clan_10"/>
      <w:bookmarkEnd w:id="10"/>
      <w:r w:rsidRPr="00605566">
        <w:rPr>
          <w:rFonts w:ascii="Arial" w:eastAsia="Times New Roman" w:hAnsi="Arial" w:cs="Arial"/>
          <w:b/>
          <w:bCs/>
          <w:sz w:val="24"/>
          <w:szCs w:val="24"/>
          <w:lang w:eastAsia="sr-Latn-RS"/>
        </w:rPr>
        <w:t xml:space="preserve">Član 10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lica zaposlenih na poslovima prometa i izdavanja lekova i medicinskih sredstava, odnosno koji na drugi način dolaze u neposredan kontakt sa lekovima i medicinskim sredstvima koji se izdaju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1) pregled doktora medicine na gnojna, gljivična i parazitarna oboljenja kože, nokti i dlake, vidljive sluzokože i tuberkulozu pluća;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rentgensko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iz stava 1. ovog člana obavljaju se jednom godišnje.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1" w:name="clan_11"/>
      <w:bookmarkEnd w:id="11"/>
      <w:r w:rsidRPr="00605566">
        <w:rPr>
          <w:rFonts w:ascii="Arial" w:eastAsia="Times New Roman" w:hAnsi="Arial" w:cs="Arial"/>
          <w:b/>
          <w:bCs/>
          <w:sz w:val="24"/>
          <w:szCs w:val="24"/>
          <w:lang w:eastAsia="sr-Latn-RS"/>
        </w:rPr>
        <w:t xml:space="preserve">Član 11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zaposlenih na poslovima pružanja higijenske nege i ulepšavanja lica i tela i poslovima pružanja nemedicinskih estetskih intervencija kojima se narušava integritet kože (javna kupališta, "wellness" centri, berberske, frizerske, maserske, pedikirske, manikirske, kozmetičke usluge, kao i usluge depilacije, tetovaže, pirsinga i sl.) kao i na poslovima proizvodnje kozmetičkih sredstava,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na gnojna, gljivična i parazitarna oboljenja kože, nokti i dlake, vidljive sluzokože i tuberkulozu pluća;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rendgensko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brisa ždrela i nosa na Staphylococcus aureus, koagulaza pozitivan;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pregled stolice na Salmonellae i Shigellae;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laboratorijski pregled stolice na crevne protozoe (Lamblia intestinalis, Entamoeba histolytica).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iz stava 1. ovog člana obavljaju se na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2" w:name="clan_12"/>
      <w:bookmarkEnd w:id="12"/>
      <w:r w:rsidRPr="00605566">
        <w:rPr>
          <w:rFonts w:ascii="Arial" w:eastAsia="Times New Roman" w:hAnsi="Arial" w:cs="Arial"/>
          <w:b/>
          <w:bCs/>
          <w:sz w:val="24"/>
          <w:szCs w:val="24"/>
          <w:lang w:eastAsia="sr-Latn-RS"/>
        </w:rPr>
        <w:t xml:space="preserve">Član 12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Lica koja u toku školovanja obavljaju obaveznu praksu na poslovima utvrđenim u članu 2. ovog pravilnika podležu obaveznom zdravstvenom pregledu propisanom za zaposlene na poslovima na kojima će obavljati obaveznu praksu, pod uslovima, u rokovima i na način propisan za lica zaposlena na tim poslovima.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3" w:name="clan_13"/>
      <w:bookmarkEnd w:id="13"/>
      <w:r w:rsidRPr="00605566">
        <w:rPr>
          <w:rFonts w:ascii="Arial" w:eastAsia="Times New Roman" w:hAnsi="Arial" w:cs="Arial"/>
          <w:b/>
          <w:bCs/>
          <w:sz w:val="24"/>
          <w:szCs w:val="24"/>
          <w:lang w:eastAsia="sr-Latn-RS"/>
        </w:rPr>
        <w:t xml:space="preserve">Član 13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zaposlenih lica iz člana 2. ovog pravilnika obavlja se i kada se zarazne bolesti pojave na radnom mestu ili u porodici, ako za to postoje epidemiološke i kliničke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Predlog za zdravstveni pregled lica u periodu kraćem od propisanog može dati epidemiolog, odgovorno lice u objektu, izabrani lekar zaposlenog lica i sanitarni inspektor.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4" w:name="clan_14"/>
      <w:bookmarkEnd w:id="14"/>
      <w:r w:rsidRPr="00605566">
        <w:rPr>
          <w:rFonts w:ascii="Arial" w:eastAsia="Times New Roman" w:hAnsi="Arial" w:cs="Arial"/>
          <w:b/>
          <w:bCs/>
          <w:sz w:val="24"/>
          <w:szCs w:val="24"/>
          <w:lang w:eastAsia="sr-Latn-RS"/>
        </w:rPr>
        <w:t xml:space="preserve">Član 14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Ako se prilikom zdravstvenih pregleda propisanih ovim pravilnikom posumnja da je lice koje je zaposleno na poslovima iz člana 2. ovog pravilnika, odnosno lice koje obavlja obaveznu praksu na tim poslovima, obolelo ili je nosilac uzročnika zarazne bolesti koja može ugroziti zdravlje korisnika proizvoda ili usluga koje to lice pruža, tom licu mogu se naložiti i drugi zdravstveni pregledi potrebni za potvrđivanje dijagnoze zarazne bolesti na koju se sumnja, </w:t>
      </w:r>
      <w:r w:rsidRPr="00605566">
        <w:rPr>
          <w:rFonts w:ascii="Arial" w:eastAsia="Times New Roman" w:hAnsi="Arial" w:cs="Arial"/>
          <w:lang w:eastAsia="sr-Latn-RS"/>
        </w:rPr>
        <w:lastRenderedPageBreak/>
        <w:t xml:space="preserve">odnosno za potvrđivanje uzročnika određene zarazne bolesti, radi lečenja i preduzimanja drugih mera u skladu sa zakonom.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Predlog za zdravstveni pregled lica iz stava 1. ovog člana može dati epidemiolog, odgovorno lice u objektu, izabrani lekar zaposlenog lica i sanitarni inspektor.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5" w:name="clan_15"/>
      <w:bookmarkEnd w:id="15"/>
      <w:r w:rsidRPr="00605566">
        <w:rPr>
          <w:rFonts w:ascii="Arial" w:eastAsia="Times New Roman" w:hAnsi="Arial" w:cs="Arial"/>
          <w:b/>
          <w:bCs/>
          <w:sz w:val="24"/>
          <w:szCs w:val="24"/>
          <w:lang w:eastAsia="sr-Latn-RS"/>
        </w:rPr>
        <w:t xml:space="preserve">Član 15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Ako se prilikom zdravstvenih pregleda utvrđenih ovim pravilnikom kod lica koja treba da zasnuju radni odnos na poslovima utvrđenim u članu 2. ovog pravilnika, kod lica zaposlenih na tim poslovima, ili kod lica koja obavljaju obaveznu praksu na tim poslovima, otkrije pozitivan nalaz doktora medicine, odnosno pozitivan laboratorijski nalaz - ta lica se ne smeju zapošljavati, odnosno zabranjuje im se obavljanje poslova ili obavezne prakse na tim poslovima, do dobijanja negativnog nalaza doktora medicine, odnosno laboratorijskog nalaza.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Zavod, odnosno institut za javno zdravlje o pozitivnom nalazu doktora medicine, odnosno pozitivnom laboratorijskom nalazu obaveštava pregledano lice, poslodavca ili školu, kao i organ uprave nadležan za poslove sanitarnog nadzora.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Mera zabrane obavljanje poslova ili obavezne prakse na tim poslovima, do dobijanja negativnog nalaza. Za sprovođenje mere zabrane obavljanje poslova ili obavezne prakse na tim poslovima, do dobijanja negativnog nalaza doktora medicine odnosno laboratorijskog nalaza odgovoran je preduzetnik ili odgovorno lice u pravnom licu kao i zaposleno lice.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6" w:name="clan_16"/>
      <w:bookmarkEnd w:id="16"/>
      <w:r w:rsidRPr="00605566">
        <w:rPr>
          <w:rFonts w:ascii="Arial" w:eastAsia="Times New Roman" w:hAnsi="Arial" w:cs="Arial"/>
          <w:b/>
          <w:bCs/>
          <w:sz w:val="24"/>
          <w:szCs w:val="24"/>
          <w:lang w:eastAsia="sr-Latn-RS"/>
        </w:rPr>
        <w:t xml:space="preserve">Član 16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Kontrolni pregled lica sa pozitivnim nalazom - nosilaca Salmonellae i Shigellae vrši se počev od šestog dana od dana završene terapije, uzastopnim trodnevnim laboratorijskim pregledom stolice. Kontrolni pregled lica - sa pozitivnim nalazom - nosilaca crevnih protozoa Lamblia intestinalis i Entamoeba histolytica vrši se počev od osmog dana od dana završene terapije, uzastopnom trodnevnom kontrolom stolice dobijene provokacijom.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Kontrolni pregled lica sa pozitivnim nalazom - nosilaca Staphylococcus aureusa koagulaza pozitivnog, vrši se počev od trećeg dana od dana završene terapije, uzastopnom dvodnevnom kontrolom brisa ždrela i nosa.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7" w:name="clan_17"/>
      <w:bookmarkEnd w:id="17"/>
      <w:r w:rsidRPr="00605566">
        <w:rPr>
          <w:rFonts w:ascii="Arial" w:eastAsia="Times New Roman" w:hAnsi="Arial" w:cs="Arial"/>
          <w:b/>
          <w:bCs/>
          <w:sz w:val="24"/>
          <w:szCs w:val="24"/>
          <w:lang w:eastAsia="sr-Latn-RS"/>
        </w:rPr>
        <w:t xml:space="preserve">Član 17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Kontrolni pregled lica sa pozitivnim nalazom gljivičnih i parazitarnih oboljenja kože, nokti i dlake vrši se po dobijanju negativnog nalaza doktora odgovarajuće grane medicine.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Ako se prilikom obavljanja pregleda doktora medicine na gnojna, gljivična i parazitarna oboljenja kože, nokti i dlake i u inspekcijskom nadzoru u objektima pod sanitarnim nadzorom, utvrdi da nokti zaposlenog lica nisu čisti, podrezani, bez gela i nelakirani, a kosa, brada i brkovi čisti i uredni, doktor medicine će zahtevati da lice iste uredi, a sanitarni inspektor privremeno zabraniti obavljanje poslova, dok se utvrđeni nedostaci ne otklone.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8" w:name="clan_18"/>
      <w:bookmarkEnd w:id="18"/>
      <w:r w:rsidRPr="00605566">
        <w:rPr>
          <w:rFonts w:ascii="Arial" w:eastAsia="Times New Roman" w:hAnsi="Arial" w:cs="Arial"/>
          <w:b/>
          <w:bCs/>
          <w:sz w:val="24"/>
          <w:szCs w:val="24"/>
          <w:lang w:eastAsia="sr-Latn-RS"/>
        </w:rPr>
        <w:t xml:space="preserve">Član 18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Izveštaj o pregledu doktora medicine i laboratorijskom nalazu zdravstvenog pregleda lica iz člana 2. ovog pravilnika, upisuje se u sanitarnu knjižicu.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Sanitarna knjižica i evidencija zaposlenih lica koja su izvršila obavezni zdravstveni pregled, overene od strane odgovornog lica potpisom i pečatom, čuvaju se u objektu gde zaposleno lice obavlja delatnost, a lica koja obavljaju praksu nose sa sobom.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Obrazac sanitarne knjižice i evidencije zaposlenih lica koja su izvršila obavezni zdravstveni pregled odštampan je uz ovaj pravilnik i čini njegov sastavni deo (Prilog br. 1 i Prilog br. 2).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19" w:name="clan_19"/>
      <w:bookmarkEnd w:id="19"/>
      <w:r w:rsidRPr="00605566">
        <w:rPr>
          <w:rFonts w:ascii="Arial" w:eastAsia="Times New Roman" w:hAnsi="Arial" w:cs="Arial"/>
          <w:b/>
          <w:bCs/>
          <w:sz w:val="24"/>
          <w:szCs w:val="24"/>
          <w:lang w:eastAsia="sr-Latn-RS"/>
        </w:rPr>
        <w:t xml:space="preserve">Član 19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pregledi davaoca krvi, ćelija, tkiva, organa ili delova organa koji se presađuju,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odgovarajuće grane medicine;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krvi na prisustvo anti-HIV antitela, HBs antigena, anti-HCV antitela, i antitreponemalnih antitela;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druge preglede u skladu sa propisima koji regulišu ovu oblast.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Ako je pri pregledu davaoca krvi, ćelija, tkiva, organa ili delova organa koji se presađuju dobijen pozitivan laboratorijski nalaz na neki ispitivani parametar, vrši se potvrdno testiranje donacije.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 potvrdnom pozitivnom laboratorijskom nalazu materijala iz stava 2. ovog člana obaveštava se davalac o odlaganju ili opozivu za buduće donacije, savetuje i upućuje se na lečenje davaoca, a donacije od pozitivnog davaoca, unutar šest meseci ponovo se pregledaju.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0" w:name="clan_20"/>
      <w:bookmarkEnd w:id="20"/>
      <w:r w:rsidRPr="00605566">
        <w:rPr>
          <w:rFonts w:ascii="Arial" w:eastAsia="Times New Roman" w:hAnsi="Arial" w:cs="Arial"/>
          <w:b/>
          <w:bCs/>
          <w:sz w:val="24"/>
          <w:szCs w:val="24"/>
          <w:lang w:eastAsia="sr-Latn-RS"/>
        </w:rPr>
        <w:t xml:space="preserve">Član 20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pregledi trudnica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 ginekologa;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laboratorijsko ispitivanje na: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(1) rubelu i toksoplazmozu, infekciju uzrokovanu citomegalovirusom i hepres virusom, u prva tri meseca trudnoće/TORCH);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(2) prisustvo antitreponemalnih antitela u prvom i poslednjem trimestru trudnoće i kod porodilja koje su rodile mrtvorođeno dete posle 20. nedelje trudnoće ili je plod bio teži od 500 grama, kao i kad ne postoji dokaz o adekvatno lečenom sifilisu tokom trudnoće;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(3) infekciju hepatitis B virusom (HBs antigen), u poslednjem trimestru trudnoće;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(4) laboratorijski pregled koprokulture na Salmonellae i Shigellae, posle 36. nedelje trudnoće;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(5) laboratorijski pregled brisa ždrela i nosa na Staphylococcus aureus, koagulaza pozitivan posle 36. nedelje trudnoće.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1" w:name="clan_21"/>
      <w:bookmarkEnd w:id="21"/>
      <w:r w:rsidRPr="00605566">
        <w:rPr>
          <w:rFonts w:ascii="Arial" w:eastAsia="Times New Roman" w:hAnsi="Arial" w:cs="Arial"/>
          <w:b/>
          <w:bCs/>
          <w:sz w:val="24"/>
          <w:szCs w:val="24"/>
          <w:lang w:eastAsia="sr-Latn-RS"/>
        </w:rPr>
        <w:t xml:space="preserve">Član 21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Obavezni zdravstveni pregledi lica na lečenju hemodijalizom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odgovarajuće grane medicine;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krvi na prisustvo HBs antigena, PCR HCV RNK anti-HIV antitela, pre započinjanja hemodijalize;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krvi na: antitela CMV, malariae, Toxoplasma gondii, Trypanosoma cruzi, leishmaniosis prema epidemiološkim indikacijama;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pregled na prisustvo meticilin rezistentnog Staphylococcus aureus i vankomicin rezistentnog Enterococcus faecalis/faecium, enterobakterije koje luče beta-laktamaze proširenog spektra i karbapenemaze po kliničkim i epidemiološkim indikacijama.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 započinjanja lečenja hemodijalizom ili u toku lečenja, HBs antigen-negativni pacijenti, moraju se vakcinisati protiv hepatitisa B u skladu sa propisom sa kojim se uređuje imunizacija i hemioprofilaksa.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Utvrđivanje nivoa anti-HBs antitela, lica iz stava 1. ovog člana koja su potpuno vakcinisana protiv hepatitisa B, vrši se jednom godišnje, u skladu sa stručno metodološkim uputstvima.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2" w:name="clan_22"/>
      <w:bookmarkEnd w:id="22"/>
      <w:r w:rsidRPr="00605566">
        <w:rPr>
          <w:rFonts w:ascii="Arial" w:eastAsia="Times New Roman" w:hAnsi="Arial" w:cs="Arial"/>
          <w:b/>
          <w:bCs/>
          <w:sz w:val="24"/>
          <w:szCs w:val="24"/>
          <w:lang w:eastAsia="sr-Latn-RS"/>
        </w:rPr>
        <w:t xml:space="preserve">Član 22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pregledi lica koja su bila akcidentalno izložena dokazano infektivnom ili potencijalno infektivnom materijalu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i utvrđivanje vakcinalnog statusa protiv virusnog hepatitisa B;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krvi na prisustvo anti-HIV antitela, HBs antigena, anti-HBs antitela i anti-HCV antitela odmah nakon akcidenta;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ponovni laboratorijski pregled krvi na prisustvo anti-HIV antitela šest i dvanaest nedelja i šest meseci nakon akcidenta;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ponovni laboratorijski pregled krvi na prisustvo HBs antigena i anti-HCV antitela 12 nedelja i šest meseci nakon akcidenta;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PCR HCV RNK test u četvrtoj i šestoj nedelji nakon akcidenta;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6) laboratorijski pregled krvi na druge infektivne agense kojima je lice bilo izloženo - prema kliničkim i epidemiološkim indikacijama odmah nakon akcidenta.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Izvor ili potencijalni izvor infekcije - dokazano infektivni ili potencijalno infektivni materijal, laboratorijski se pregleda na prisustvo anti-HIV antitela, HBs antigen, anti-HCV antitela i druge infektivne agense prema kliničkim i epidemiološkim indikacijama, odmah nakon akcidenta.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Postekspoziciona profilaksa vrši se u skladu sa propisom kojim se uređuje imunizacija i hemioprofilaksa.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3" w:name="clan_23"/>
      <w:bookmarkEnd w:id="23"/>
      <w:r w:rsidRPr="00605566">
        <w:rPr>
          <w:rFonts w:ascii="Arial" w:eastAsia="Times New Roman" w:hAnsi="Arial" w:cs="Arial"/>
          <w:b/>
          <w:bCs/>
          <w:sz w:val="24"/>
          <w:szCs w:val="24"/>
          <w:lang w:eastAsia="sr-Latn-RS"/>
        </w:rPr>
        <w:t xml:space="preserve">Član 23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Obavezni zdravstveni pregledi odojčadi ili dece koja su tokom trudnoće, rađanja ili po rođenju bila izložena HIV infekciji ili virusnoj hepatitis C ili hepatitis B infekciji, kao i odojčadi sa sumnjom na kongenitalni sifilis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krvi na prisustvo genoma virusa HIV - reakcijom lančane polimerizacije (PCR HIV DNK) u trećem danu života i najmanje još jednom do navršenih šest meseci života (sa navršenim prvim, četvrtim ili šestim mesecom života);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krvi na prisustvo anti-HIV antitela kod dece od navršenih 18. meseci života;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laboratorijski pregled krvi na prisustvo anti-HCV antitela i HBs antigena od navršenih 12 meseci života;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laboratorijski pregled krvi i likvora kvantitativnim netreponemalnim testom (VDRL) odnosno IgM immunoblot testom i PCR testom.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Pregled krvi, kod seroreaktivne odojčadi, kvantitativnim netreponemalnim testom vrši se svaka dva do tri meseca dok ne postanu nereaktivni ili titar antitela značajno ne padne.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Pregled moždinske tečnosti kvantitativnim netreponemalnim testom, kod seroreaktivne odojčadi, vrši se svakih šest meseci dok se ne dobiju normalni rezultati.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4" w:name="clan_24"/>
      <w:bookmarkEnd w:id="24"/>
      <w:r w:rsidRPr="00605566">
        <w:rPr>
          <w:rFonts w:ascii="Arial" w:eastAsia="Times New Roman" w:hAnsi="Arial" w:cs="Arial"/>
          <w:b/>
          <w:bCs/>
          <w:sz w:val="24"/>
          <w:szCs w:val="24"/>
          <w:lang w:eastAsia="sr-Latn-RS"/>
        </w:rPr>
        <w:t xml:space="preserve">Član 24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pregledi novorođenčadi, odnosno odojčadi rođenih od majki sa sumnjom na infekciju virusom rubele ili potvrđenom infekcijom virusom rubele u trudnoći, odnosno sa sumnjom na kongenitalni rubela sindrom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krvi na rubela antitela odmah po rođenju, a po potrebi od prve do treće nedelje po rođenju i šest i dvanaest meseci po rođenju;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brisa nazofarinksa, konjuktive, uzorka urina, krvi i moždinske tečnosti, na prisustvo virusa rubele, odmah po rođenju.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5" w:name="clan_25"/>
      <w:bookmarkEnd w:id="25"/>
      <w:r w:rsidRPr="00605566">
        <w:rPr>
          <w:rFonts w:ascii="Arial" w:eastAsia="Times New Roman" w:hAnsi="Arial" w:cs="Arial"/>
          <w:b/>
          <w:bCs/>
          <w:sz w:val="24"/>
          <w:szCs w:val="24"/>
          <w:lang w:eastAsia="sr-Latn-RS"/>
        </w:rPr>
        <w:t xml:space="preserve">Član 25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Obavezan zdravstveni pregled osoba kojima su određene mere prinudnog smeštaja, odnosno izdržavanje kazne zatvora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na tuberkulozu pre prijema;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rendgensko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krvi na prisustvo anti-HIV antitela, anti-HCVantitela i HBS Ag, ako postoje kliničke i epidemiološke indikacije.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6" w:name="clan_26"/>
      <w:bookmarkEnd w:id="26"/>
      <w:r w:rsidRPr="00605566">
        <w:rPr>
          <w:rFonts w:ascii="Arial" w:eastAsia="Times New Roman" w:hAnsi="Arial" w:cs="Arial"/>
          <w:b/>
          <w:bCs/>
          <w:sz w:val="24"/>
          <w:szCs w:val="24"/>
          <w:lang w:eastAsia="sr-Latn-RS"/>
        </w:rPr>
        <w:lastRenderedPageBreak/>
        <w:t xml:space="preserve">Član 26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pregledi lica smeštenih u socijalne ustanove u kojima se obavlja i zdravstvena delatnost, kao i lica smeštena u đačke i studenske domove,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na tuberkulozu pluća pre prijema;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rendgensko snimanje pluća ako postoje kliničke 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krvi na prisustvo anti-HIVantitela, HBsAg, anti-HCV antitela, kao i pregled krvi na druge polno prenosive infekcija ukoliko postoje kliničke ili epidemiološke indikacije;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pregled na prisustvo meticilin rezistentnog Staphylococcus aureus i vankomicin rezistentnog Enterococcus faecalis/faecium, enterobakterije koje luče beta-laktamaze proširenog spektra i karbapenemaze u socijalnim ustanovama u kojima se obavlja i zdravstvena delatnost, po kliničkim i epidemiološkim indikacijama.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7" w:name="clan_27"/>
      <w:bookmarkEnd w:id="27"/>
      <w:r w:rsidRPr="00605566">
        <w:rPr>
          <w:rFonts w:ascii="Arial" w:eastAsia="Times New Roman" w:hAnsi="Arial" w:cs="Arial"/>
          <w:b/>
          <w:bCs/>
          <w:sz w:val="24"/>
          <w:szCs w:val="24"/>
          <w:lang w:eastAsia="sr-Latn-RS"/>
        </w:rPr>
        <w:t xml:space="preserve">Član 27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zdravstveni pregledi lica koja traže azil radi utvrđivanja nosilaštva uzročnika zaraznih bolesti obuhvataju: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prvi lekarski pregled u prvih sedam dana, radi otkrivanja akutnih zaraznih bolesti i utvrđivanja vakcinalnog statusa, obavezne vakcinacije i uputstva o zdravstvenom nadzoru, u trajanju od 21 dan;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dopunski lekarski pregled radi utvrđivanja hroničnih zaraznih bolesti ili kliconoštva obuhvata: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(1) rendgensko snimanje pluća na tuberkulozu, a za mlađe ženske osobe i decu ispod 14 godina tuberkulinski test;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(2) laboratorijski pregled stolice na salmonellae i shigele i crevne protozoe;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pregled kože i kose na znakove šuge i vašiju;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za lice koje dolazi iz tropskih zemalja ili su kroz njih prolazili i pregled na malariju i koleru;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ciljano ispitivanje (u anamnezi) da li su bolovali ili boluju ili su bili izloženi riziku za infekcije koje se prenose seksualnim ili parenteralnim putem i preporučiti testiranje na HIV, HBV, HCV, sifilis i druge patogene;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6) na osnovu podataka dobijenih anamnezom i pregledom, po potrebi, treba uključiti i druge analize ili preglede u skladu sa zakonom.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8" w:name="clan_28"/>
      <w:bookmarkEnd w:id="28"/>
      <w:r w:rsidRPr="00605566">
        <w:rPr>
          <w:rFonts w:ascii="Arial" w:eastAsia="Times New Roman" w:hAnsi="Arial" w:cs="Arial"/>
          <w:b/>
          <w:bCs/>
          <w:sz w:val="24"/>
          <w:szCs w:val="24"/>
          <w:lang w:eastAsia="sr-Latn-RS"/>
        </w:rPr>
        <w:t xml:space="preserve">Član 28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Obavezan zdravstveni pregled žena koje su na programima inseminacije ili veštačke oplodnje radi utvrđivanja nosilaštva uzročnika zaraznih bolesti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 ginekologa;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2) obavezno laboratorijsko ispitivanje na: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(1) rubelu i toksoplazmozu, infekciju uzrokovanu citomegalovirusom i hepres virusom/TORCH);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(2) prisustvo antitreponemalnih antitela;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(3) HIV infekciju (anti-HIV antitela);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(4) infekciju hepatitis B virusom (HBs antigen); </w:t>
      </w:r>
    </w:p>
    <w:p w:rsidR="00605566" w:rsidRPr="00605566" w:rsidRDefault="00605566" w:rsidP="00605566">
      <w:pPr>
        <w:spacing w:before="100" w:beforeAutospacing="1" w:after="100" w:afterAutospacing="1" w:line="240" w:lineRule="auto"/>
        <w:ind w:left="992"/>
        <w:rPr>
          <w:rFonts w:ascii="Arial" w:eastAsia="Times New Roman" w:hAnsi="Arial" w:cs="Arial"/>
          <w:lang w:eastAsia="sr-Latn-RS"/>
        </w:rPr>
      </w:pPr>
      <w:r w:rsidRPr="00605566">
        <w:rPr>
          <w:rFonts w:ascii="Arial" w:eastAsia="Times New Roman" w:hAnsi="Arial" w:cs="Arial"/>
          <w:lang w:eastAsia="sr-Latn-RS"/>
        </w:rPr>
        <w:t xml:space="preserve">(5) infekciju hepatitis C virusom (anti-HCV antitela).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29" w:name="clan_29"/>
      <w:bookmarkEnd w:id="29"/>
      <w:r w:rsidRPr="00605566">
        <w:rPr>
          <w:rFonts w:ascii="Arial" w:eastAsia="Times New Roman" w:hAnsi="Arial" w:cs="Arial"/>
          <w:b/>
          <w:bCs/>
          <w:sz w:val="24"/>
          <w:szCs w:val="24"/>
          <w:lang w:eastAsia="sr-Latn-RS"/>
        </w:rPr>
        <w:t xml:space="preserve">Član 29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Obavezan zdravstveni pregled zdravstvenih radnika koji su eksponirani HBV virusu na HBsAg ili anti-HBs u zavisnosti od toga da li su vakcinisani protiv hepatitisa B radi utvrđivanja nosilaštva uzročnika zaraznih bolesti,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laboratorijsko određivanje nivoa anti-HBs antitela, jednom godišnje, kod eksponiranih zdravstvenih radnika iz stava 1. ovog člana koji su vakcinisani po propisu kojim se uređuje imunizacija i hemioprofilaksa;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laboratorijsko određivanje nivoa anti-HBs antitela kod eksponiranih zdravstvenih radnika iz tačke 1) ovog člana koji nisu vakcinisani ili nisu vakcinisani potpuno, vakcinacija se vrši odmah, u skladu sa propisom kojim se uređuje imunizacija i hemioprofilaksa.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0" w:name="clan_30"/>
      <w:bookmarkEnd w:id="30"/>
      <w:r w:rsidRPr="00605566">
        <w:rPr>
          <w:rFonts w:ascii="Arial" w:eastAsia="Times New Roman" w:hAnsi="Arial" w:cs="Arial"/>
          <w:b/>
          <w:bCs/>
          <w:sz w:val="24"/>
          <w:szCs w:val="24"/>
          <w:lang w:eastAsia="sr-Latn-RS"/>
        </w:rPr>
        <w:t xml:space="preserve">Član 30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Preporučeni zdravstveni pregled trudnica, radi utvrđivanja nosilaštva uzročnika zaraznih bolesti,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laboratorijski pregled krvi na varičela infekciju, Neisseria gonorrhoea i Chlamydia trachomatis infekciju, infekciju Parvovirus B19, malariae, Chagas - ovo oboljenje prema epidemiološkim indikacijama;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brisa vagine i rektuma između 35. i 37. nedelje trudnoće na prisustvo beta hemolitičkog streptokoka grupe B;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laboratorijski pregled hemokulture kod svih febrilnih trudnica, prema predlogu infektologa;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laboratorijsko određivanje anti-HIV antitela pri prvoj poseti ginekologu, a prema epidemiološkim indikacijama, ponovno testiranje pre 36. nedelje kao i u 38. nedelji trudnoće;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laboratorijsko određivanje anti-HCV antitela u poslednjem trimestru trudnoće ako postoje kliničke ili epidemiološke indikacije.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1" w:name="clan_31"/>
      <w:bookmarkEnd w:id="31"/>
      <w:r w:rsidRPr="00605566">
        <w:rPr>
          <w:rFonts w:ascii="Arial" w:eastAsia="Times New Roman" w:hAnsi="Arial" w:cs="Arial"/>
          <w:b/>
          <w:bCs/>
          <w:sz w:val="24"/>
          <w:szCs w:val="24"/>
          <w:lang w:eastAsia="sr-Latn-RS"/>
        </w:rPr>
        <w:t xml:space="preserve">Član 31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Preporučeni zdravstveni pregled žrtava seksualnog napada ili zlostavljanja radi utvrđivanja nosilaštva uzročnika zaraznih bolesti,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lastRenderedPageBreak/>
        <w:t xml:space="preserve">1) lekarski pregled odmah nakon napada ili zlostavljanja, a zatim nakon dve nedelje, tri meseca i šestog meseca;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pregled na Trichomonas vaginalis odmah, a u slučaju negativnog rezultata ponovni pregled prema uputstvu lekara;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pregled na Neisseria gonorrhoeae i Chlamydia trachomatis odmah, a u slučaju negativnog rezultata ponovni pregled prema uputstvu lekara;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4) pregled krvi na prisustvo anti-HIV antitela, HBs antigena i treponemalnih antitela odmah, a u slučaju negativnog rezultata ponovo nakon trećeg i šestog meseca nakon napada ili zlostavljanja;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5) ukoliko je nivo anti-HBs antitela ≥ 10 IU/L u vreme napada lice potpuno vakcinisano protiv virusnog hepatitisa B, utvrđuje se nivo anti-HBs antitela, nije potrebno praćenje vezano za hepatitis B infekciju.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2" w:name="clan_32"/>
      <w:bookmarkEnd w:id="32"/>
      <w:r w:rsidRPr="00605566">
        <w:rPr>
          <w:rFonts w:ascii="Arial" w:eastAsia="Times New Roman" w:hAnsi="Arial" w:cs="Arial"/>
          <w:b/>
          <w:bCs/>
          <w:sz w:val="24"/>
          <w:szCs w:val="24"/>
          <w:lang w:eastAsia="sr-Latn-RS"/>
        </w:rPr>
        <w:t xml:space="preserve">Član 32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Preporučeni zdravstveni pregled lica sa dijagnostikovanom aktivnom tuberkulozom radi utvrđivanja nosilaštva uzročnika zaraznih bolesti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laboratorijski pregled krvi na prisustvo anti-HIV antitela, anti-HCV antitela, HBs antigena i anti-treponemalna antitela po kliničkim i epidemiološkim indikacijama, odmah po započinjanju lečenja;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istraživanje kontakata u skladu sa stručno metodološkim uputstvima.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3" w:name="clan_33"/>
      <w:bookmarkEnd w:id="33"/>
      <w:r w:rsidRPr="00605566">
        <w:rPr>
          <w:rFonts w:ascii="Arial" w:eastAsia="Times New Roman" w:hAnsi="Arial" w:cs="Arial"/>
          <w:b/>
          <w:bCs/>
          <w:sz w:val="24"/>
          <w:szCs w:val="24"/>
          <w:lang w:eastAsia="sr-Latn-RS"/>
        </w:rPr>
        <w:t xml:space="preserve">Član 33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Preporučeni zdravstveni pregled lica sa klinički manifestnim znacima ili simptomima koji ukazuju na oslabljen imunološki sistem radi utvrđivanja nosilaštva uzročnika zaraznih bolesti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laboratorijsko ispitivanje krvi na prisustvo anti-HIV antitela, anti-HCV antitela, HBs antigena i anti-treponemalna antitela, po kliničkim i epidemiološkim indikacijama, odmah po započinjanju lečenja;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osoba sadijagnostikovanom HIV infekcijom obuhvata: određivanje broja CD4 limfocita, viremije PCR RNK HIV testom i rezistencije HIV-a na antiretrovirusne lekove u skladu sa kliničkim smernicama.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4" w:name="clan_34"/>
      <w:bookmarkEnd w:id="34"/>
      <w:r w:rsidRPr="00605566">
        <w:rPr>
          <w:rFonts w:ascii="Arial" w:eastAsia="Times New Roman" w:hAnsi="Arial" w:cs="Arial"/>
          <w:b/>
          <w:bCs/>
          <w:sz w:val="24"/>
          <w:szCs w:val="24"/>
          <w:lang w:eastAsia="sr-Latn-RS"/>
        </w:rPr>
        <w:t xml:space="preserve">Član 34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Preporučeni zdravstveni pregled lica koja su bila potencijalno, nenasilno izložena infekciji koja se prenosi parenteralnim ili seksualnim putem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pregled doktora medicine;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laboratorijski pregled krvi na prisustvo anti-HIV antitela, anti-HCV antitela, HBs antigena i anti-treponemalna antitela;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3) pregled na Trichomonas vaginalis, Neisseria gonorrhoeae i Chlamydia trachomatis.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5" w:name="clan_35"/>
      <w:bookmarkEnd w:id="35"/>
      <w:r w:rsidRPr="00605566">
        <w:rPr>
          <w:rFonts w:ascii="Arial" w:eastAsia="Times New Roman" w:hAnsi="Arial" w:cs="Arial"/>
          <w:b/>
          <w:bCs/>
          <w:sz w:val="24"/>
          <w:szCs w:val="24"/>
          <w:lang w:eastAsia="sr-Latn-RS"/>
        </w:rPr>
        <w:lastRenderedPageBreak/>
        <w:t xml:space="preserve">Član 35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osoba koje su nosioci antigena hepatitisa B i C obuhvata: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1) laboratorijski pregled krvi na PCR RNK HCV i PCR DNK HBV;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2) pregled krvi na anti-HIV.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Zdravstveni pregled lica iz stava 1. ovog člana obavlja se svakih šest meseci.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6" w:name="clan_36"/>
      <w:bookmarkEnd w:id="36"/>
      <w:r w:rsidRPr="00605566">
        <w:rPr>
          <w:rFonts w:ascii="Arial" w:eastAsia="Times New Roman" w:hAnsi="Arial" w:cs="Arial"/>
          <w:b/>
          <w:bCs/>
          <w:sz w:val="24"/>
          <w:szCs w:val="24"/>
          <w:lang w:eastAsia="sr-Latn-RS"/>
        </w:rPr>
        <w:t xml:space="preserve">Član 36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Pozitivan rezultat laboratorijskog ispitivanja u obaveznim i preporučenim zdravstvenim pregledima biološkog materijala na prisustvo anti-HIV antitela, anti-HCV antitela, antitreponemalnih antitela i HbsAg, ne sme biti ograničenje za pružanje medicinskih ili drugih usluga, kao što su smeštaj u ustanove socijalne zaštite (domovi za stara lica, domovi za nezbrinutu decu, sigurne kuće za žrtve nasilja, đačke i studentske domove).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7" w:name="clan_37"/>
      <w:bookmarkEnd w:id="37"/>
      <w:r w:rsidRPr="00605566">
        <w:rPr>
          <w:rFonts w:ascii="Arial" w:eastAsia="Times New Roman" w:hAnsi="Arial" w:cs="Arial"/>
          <w:b/>
          <w:bCs/>
          <w:sz w:val="24"/>
          <w:szCs w:val="24"/>
          <w:lang w:eastAsia="sr-Latn-RS"/>
        </w:rPr>
        <w:t xml:space="preserve">Član 37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Obavezni ili preporučeni zdravstveni pregledi radi utvrđivanja nosilaštva uzročnika zaraznih bolesti mogu biti propisani i za druge kategorije stanovništva prema kliničkim i epidemiološkim indikacijama i u skladu sa preporukama Svetske zdravstvene organiacije i drugih međunarodnih zdravstvenih organizacija.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Meru obaveznog i preporučenog zdravstvenog pregleda za određene kategorije stanovništva iz stava 1. ovog člana, organizuju i sprovode nadležne zdravstvene ustanove, u skladu sa zakonom.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8" w:name="clan_38"/>
      <w:bookmarkEnd w:id="38"/>
      <w:r w:rsidRPr="00605566">
        <w:rPr>
          <w:rFonts w:ascii="Arial" w:eastAsia="Times New Roman" w:hAnsi="Arial" w:cs="Arial"/>
          <w:b/>
          <w:bCs/>
          <w:sz w:val="24"/>
          <w:szCs w:val="24"/>
          <w:lang w:eastAsia="sr-Latn-RS"/>
        </w:rPr>
        <w:t xml:space="preserve">Član 38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 izvršenim obaveznim i preporučenim zdravstvenim pregledima, uključujući i dobrovoljno poverljivo savetovanje i testiranje (DPST), vodi se propisana medicinska dokumentacija i evidencija u pismenom ili elektronskom obliku u skladu sa zakonom.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Obrazac za dobrovoljno poverljivo savetovanje i testiranje (DPST) iz stava 1. ovog člana odštampan je uz ovaj pravilnik i čini njegov sastavni deo (Prilog br. 3).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39" w:name="clan_39"/>
      <w:bookmarkEnd w:id="39"/>
      <w:r w:rsidRPr="00605566">
        <w:rPr>
          <w:rFonts w:ascii="Arial" w:eastAsia="Times New Roman" w:hAnsi="Arial" w:cs="Arial"/>
          <w:b/>
          <w:bCs/>
          <w:sz w:val="24"/>
          <w:szCs w:val="24"/>
          <w:lang w:eastAsia="sr-Latn-RS"/>
        </w:rPr>
        <w:t xml:space="preserve">Član 39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Zdravstvene ustanove, koje vrše obavezne i preporučene zdravstvene preglede za određene kategorije stanovništva dužne su da dostavljaju izveštaje nadležnom zavodu, odnosno institut za javno zdravlje, o broju pregledanih osoba, broju i vrsti izvršenih pregleda, broju pozitivnih laboratorijskih nalaza, po kategorijima stanovništva jednom mesečno. A zavodi odnosno instituti za javno zdravlje izveštavaju Zavod za javno zdravlje osnovan za teritoriju Republike Srbije.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40" w:name="clan_40"/>
      <w:bookmarkEnd w:id="40"/>
      <w:r w:rsidRPr="00605566">
        <w:rPr>
          <w:rFonts w:ascii="Arial" w:eastAsia="Times New Roman" w:hAnsi="Arial" w:cs="Arial"/>
          <w:b/>
          <w:bCs/>
          <w:sz w:val="24"/>
          <w:szCs w:val="24"/>
          <w:lang w:eastAsia="sr-Latn-RS"/>
        </w:rPr>
        <w:t xml:space="preserve">Član 40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Danom stupanja na snagu ovog pravilnika prestaje da važi Pravilnik o obaveznim zdravstvenim pregledima određenih kategorija zaposlenih, drugih lica i kliconoša ("Službeni glasnik RS", br. 20/06 i 27/06). </w:t>
      </w:r>
    </w:p>
    <w:p w:rsidR="00605566" w:rsidRPr="00605566" w:rsidRDefault="00605566" w:rsidP="00605566">
      <w:pPr>
        <w:spacing w:before="240" w:after="120" w:line="240" w:lineRule="auto"/>
        <w:jc w:val="center"/>
        <w:rPr>
          <w:rFonts w:ascii="Arial" w:eastAsia="Times New Roman" w:hAnsi="Arial" w:cs="Arial"/>
          <w:b/>
          <w:bCs/>
          <w:sz w:val="24"/>
          <w:szCs w:val="24"/>
          <w:lang w:eastAsia="sr-Latn-RS"/>
        </w:rPr>
      </w:pPr>
      <w:bookmarkStart w:id="41" w:name="clan_41"/>
      <w:bookmarkEnd w:id="41"/>
      <w:r w:rsidRPr="00605566">
        <w:rPr>
          <w:rFonts w:ascii="Arial" w:eastAsia="Times New Roman" w:hAnsi="Arial" w:cs="Arial"/>
          <w:b/>
          <w:bCs/>
          <w:sz w:val="24"/>
          <w:szCs w:val="24"/>
          <w:lang w:eastAsia="sr-Latn-RS"/>
        </w:rPr>
        <w:lastRenderedPageBreak/>
        <w:t xml:space="preserve">Član 41 </w:t>
      </w:r>
    </w:p>
    <w:p w:rsidR="00605566" w:rsidRPr="00605566" w:rsidRDefault="00605566" w:rsidP="00605566">
      <w:pPr>
        <w:spacing w:before="100" w:beforeAutospacing="1" w:after="100" w:afterAutospacing="1" w:line="240" w:lineRule="auto"/>
        <w:rPr>
          <w:rFonts w:ascii="Arial" w:eastAsia="Times New Roman" w:hAnsi="Arial" w:cs="Arial"/>
          <w:lang w:eastAsia="sr-Latn-RS"/>
        </w:rPr>
      </w:pPr>
      <w:r w:rsidRPr="00605566">
        <w:rPr>
          <w:rFonts w:ascii="Arial" w:eastAsia="Times New Roman" w:hAnsi="Arial" w:cs="Arial"/>
          <w:lang w:eastAsia="sr-Latn-RS"/>
        </w:rPr>
        <w:t xml:space="preserve">Ovaj pravilnik stupa na snagu osmog dana od dana objavljivanja u "Službenom glasniku Republike Srbije". </w:t>
      </w:r>
    </w:p>
    <w:p w:rsidR="00605566" w:rsidRPr="00605566" w:rsidRDefault="00605566" w:rsidP="00605566">
      <w:pPr>
        <w:spacing w:before="100" w:beforeAutospacing="1" w:after="100" w:afterAutospacing="1" w:line="240" w:lineRule="auto"/>
        <w:jc w:val="center"/>
        <w:rPr>
          <w:rFonts w:ascii="Arial" w:eastAsia="Times New Roman" w:hAnsi="Arial" w:cs="Arial"/>
          <w:lang w:eastAsia="sr-Latn-RS"/>
        </w:rPr>
      </w:pPr>
      <w:r w:rsidRPr="00605566">
        <w:rPr>
          <w:rFonts w:ascii="Arial" w:eastAsia="Times New Roman" w:hAnsi="Arial" w:cs="Arial"/>
          <w:b/>
          <w:bCs/>
          <w:lang w:eastAsia="sr-Latn-RS"/>
        </w:rPr>
        <w:t xml:space="preserve">Priloge 1-3, koji su sastavni deo ovog pravilnika, možete pogledati </w:t>
      </w:r>
      <w:hyperlink r:id="rId5" w:tgtFrame="_blank" w:history="1">
        <w:r w:rsidRPr="00605566">
          <w:rPr>
            <w:rFonts w:ascii="Arial" w:eastAsia="Times New Roman" w:hAnsi="Arial" w:cs="Arial"/>
            <w:b/>
            <w:bCs/>
            <w:color w:val="0000FF"/>
            <w:u w:val="single"/>
            <w:lang w:eastAsia="sr-Latn-RS"/>
          </w:rPr>
          <w:t>OVDE</w:t>
        </w:r>
      </w:hyperlink>
      <w:r w:rsidRPr="00605566">
        <w:rPr>
          <w:rFonts w:ascii="Arial" w:eastAsia="Times New Roman" w:hAnsi="Arial" w:cs="Arial"/>
          <w:b/>
          <w:bCs/>
          <w:lang w:eastAsia="sr-Latn-RS"/>
        </w:rPr>
        <w:t xml:space="preserve"> </w:t>
      </w:r>
    </w:p>
    <w:p w:rsidR="00606102" w:rsidRDefault="00606102"/>
    <w:sectPr w:rsidR="00606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566"/>
    <w:rsid w:val="005108A3"/>
    <w:rsid w:val="00605566"/>
    <w:rsid w:val="0060610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0556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Normal1">
    <w:name w:val="Normal1"/>
    <w:basedOn w:val="Normal"/>
    <w:rsid w:val="00605566"/>
    <w:pPr>
      <w:spacing w:before="100" w:beforeAutospacing="1" w:after="100" w:afterAutospacing="1" w:line="240" w:lineRule="auto"/>
    </w:pPr>
    <w:rPr>
      <w:rFonts w:ascii="Arial" w:eastAsia="Times New Roman" w:hAnsi="Arial" w:cs="Arial"/>
      <w:lang w:eastAsia="sr-Latn-RS"/>
    </w:rPr>
  </w:style>
  <w:style w:type="character" w:customStyle="1" w:styleId="Heading4Char">
    <w:name w:val="Heading 4 Char"/>
    <w:basedOn w:val="DefaultParagraphFont"/>
    <w:link w:val="Heading4"/>
    <w:uiPriority w:val="9"/>
    <w:rsid w:val="00605566"/>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605566"/>
    <w:rPr>
      <w:rFonts w:ascii="Arial" w:hAnsi="Arial" w:cs="Arial" w:hint="default"/>
      <w:strike w:val="0"/>
      <w:dstrike w:val="0"/>
      <w:color w:val="0000FF"/>
      <w:u w:val="single"/>
      <w:effect w:val="none"/>
    </w:rPr>
  </w:style>
  <w:style w:type="paragraph" w:customStyle="1" w:styleId="clan">
    <w:name w:val="clan"/>
    <w:basedOn w:val="Normal"/>
    <w:rsid w:val="00605566"/>
    <w:pPr>
      <w:spacing w:before="240" w:after="120" w:line="240" w:lineRule="auto"/>
      <w:jc w:val="center"/>
    </w:pPr>
    <w:rPr>
      <w:rFonts w:ascii="Arial" w:eastAsia="Times New Roman" w:hAnsi="Arial" w:cs="Arial"/>
      <w:b/>
      <w:bCs/>
      <w:sz w:val="24"/>
      <w:szCs w:val="24"/>
      <w:lang w:eastAsia="sr-Latn-RS"/>
    </w:rPr>
  </w:style>
  <w:style w:type="paragraph" w:customStyle="1" w:styleId="normaluvuceni3">
    <w:name w:val="normal_uvuceni3"/>
    <w:basedOn w:val="Normal"/>
    <w:rsid w:val="00605566"/>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60556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05566"/>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Normal1">
    <w:name w:val="Normal1"/>
    <w:basedOn w:val="Normal"/>
    <w:rsid w:val="00605566"/>
    <w:pPr>
      <w:spacing w:before="100" w:beforeAutospacing="1" w:after="100" w:afterAutospacing="1" w:line="240" w:lineRule="auto"/>
    </w:pPr>
    <w:rPr>
      <w:rFonts w:ascii="Arial" w:eastAsia="Times New Roman" w:hAnsi="Arial" w:cs="Arial"/>
      <w:lang w:eastAsia="sr-Latn-RS"/>
    </w:rPr>
  </w:style>
  <w:style w:type="character" w:customStyle="1" w:styleId="Heading4Char">
    <w:name w:val="Heading 4 Char"/>
    <w:basedOn w:val="DefaultParagraphFont"/>
    <w:link w:val="Heading4"/>
    <w:uiPriority w:val="9"/>
    <w:rsid w:val="00605566"/>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605566"/>
    <w:rPr>
      <w:rFonts w:ascii="Arial" w:hAnsi="Arial" w:cs="Arial" w:hint="default"/>
      <w:strike w:val="0"/>
      <w:dstrike w:val="0"/>
      <w:color w:val="0000FF"/>
      <w:u w:val="single"/>
      <w:effect w:val="none"/>
    </w:rPr>
  </w:style>
  <w:style w:type="paragraph" w:customStyle="1" w:styleId="clan">
    <w:name w:val="clan"/>
    <w:basedOn w:val="Normal"/>
    <w:rsid w:val="00605566"/>
    <w:pPr>
      <w:spacing w:before="240" w:after="120" w:line="240" w:lineRule="auto"/>
      <w:jc w:val="center"/>
    </w:pPr>
    <w:rPr>
      <w:rFonts w:ascii="Arial" w:eastAsia="Times New Roman" w:hAnsi="Arial" w:cs="Arial"/>
      <w:b/>
      <w:bCs/>
      <w:sz w:val="24"/>
      <w:szCs w:val="24"/>
      <w:lang w:eastAsia="sr-Latn-RS"/>
    </w:rPr>
  </w:style>
  <w:style w:type="paragraph" w:customStyle="1" w:styleId="normaluvuceni3">
    <w:name w:val="normal_uvuceni3"/>
    <w:basedOn w:val="Normal"/>
    <w:rsid w:val="00605566"/>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60556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propisi.com/dokumenti/pregled_zdravlja_1_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4482</Words>
  <Characters>25548</Characters>
  <Application>Microsoft Office Word</Application>
  <DocSecurity>0</DocSecurity>
  <Lines>212</Lines>
  <Paragraphs>59</Paragraphs>
  <ScaleCrop>false</ScaleCrop>
  <Company/>
  <LinksUpToDate>false</LinksUpToDate>
  <CharactersWithSpaces>29971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3</cp:revision>
  <dcterms:created xsi:type="dcterms:W3CDTF">2017-01-23T07:12:00Z</dcterms:created>
  <dcterms:modified xsi:type="dcterms:W3CDTF">2017-02-23T12:21:00Z</dcterms:modified>
</cp:coreProperties>
</file>