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C93644" w:rsidRPr="00C93644" w:rsidTr="00C93644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UREDBA</w:t>
            </w:r>
          </w:p>
          <w:p w:rsidR="00C93644" w:rsidRPr="00C93644" w:rsidRDefault="00C93644" w:rsidP="00C93644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C93644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IZGLEDU OBRASCA I NAČINU VOĐENJA EVIDENCIJE O INSPEKCIJSKOM NADZORU</w:t>
            </w:r>
          </w:p>
          <w:bookmarkEnd w:id="0"/>
          <w:p w:rsidR="00C93644" w:rsidRPr="00C93644" w:rsidRDefault="00C93644" w:rsidP="00C93644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81/2015)</w:t>
            </w:r>
          </w:p>
        </w:tc>
      </w:tr>
    </w:tbl>
    <w:p w:rsidR="00C93644" w:rsidRPr="00C93644" w:rsidRDefault="00C93644" w:rsidP="00C9364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Ovom uredbom propisuje se izgled obrasca i način vođenja evidencije o inspekcijskom nadzoru (u daljem tekstu: evidencija). </w:t>
      </w:r>
    </w:p>
    <w:p w:rsidR="00C93644" w:rsidRPr="00C93644" w:rsidRDefault="00C93644" w:rsidP="00C9364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O inspekcijskom nadzoru, za potrebe praćenja stanja u određenoj oblasti i potrebe praćenja rada, svaki inspektor vodi evidenciju.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Evidencija o inspekcijskom nadzoru vodi se u elektronskoj formi u okviru funkcionalnog jedinstvenog informacionog sistema za inspekcije na način propisan ovom uredbom, nakon njegovog uspostavljanja.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Do prelaska na jedinstveni informacioni sistem za inspekcije, inspekcije vode evidenciju u pisanoj formi ili u elektronskoj formi u okviru sopstvenih softverskih rešenja.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>Evidencija se vodi po načelima urednosti i tačnosti, a po hronološkom redu.</w:t>
      </w:r>
    </w:p>
    <w:p w:rsidR="00C93644" w:rsidRPr="00C93644" w:rsidRDefault="00C93644" w:rsidP="00C9364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Evidencija, pored podataka utvrđenih Zakonom o inspekcijskom nadzoru, sadrži i: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1) podatke o vršenju zajedničkog nadzora i razlozima za zajednički nadzor;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2) podatak da li je nadzor vršen nad registrovanim ili neregistrovanim subjektom, odnosno subjektom iz člana 33. stav 2. Zakona o inspekcijskom nadzoru;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3) podatke vezane za pokretanje postupka inspekcijskog nadzora;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4) podatke o podnosiocu predstavke;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5) podatak o procenjenom riziku kod nadziranog subjekta;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6) podatke o žalbi i postupku po žalbi;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7) podatke o izvršenju rešenja;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8) podatke o pritužbama na rad inspektora;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9) datum unosa podataka i promene podataka u evidenciji;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10) podatke o inspektoru, odnosno drugom licu koje je unelo podatke u evidenciju. </w:t>
      </w:r>
    </w:p>
    <w:p w:rsidR="00C93644" w:rsidRPr="00C93644" w:rsidRDefault="00C93644" w:rsidP="00C9364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4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Evidencija se vodi na obrascu, koji je odštampan uz ovu uredbu i čini njen sastavni deo.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Podaci iz člana 3. ove uredbe unose se obeležavanjem izabrane opcije ili više opcija istovremeno, odnosno unošenjem teksta u za to predviđena polja.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Podatke u evidenciju unosi inspektor i službenik ovlašćen za vršenje inspekcijskog nadzora, odnosno drugo ovlašćeno lice po nalogu inspektora ili službenika ovlašćenog za vršenje inspekcijskog nadzora, odnosno rukovodioca inspekcije.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Inspektor, odnosno drugo ovlašćeno lice je dužno da podatke o sprovedenom nadzoru unese u evidenciju u roku od tri dana od dana sačinjavanja zapisnika, preduzete radnje i prijema akta, odnosno saznanja za činjenicu koja se unosi u evidenciju. </w:t>
      </w:r>
    </w:p>
    <w:p w:rsidR="00C93644" w:rsidRPr="00C93644" w:rsidRDefault="00C93644" w:rsidP="00C9364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lang w:eastAsia="sr-Latn-RS"/>
        </w:rPr>
        <w:t xml:space="preserve">Ova uredba stupa na snagu osmog dana od dana objavljivanja u "Službenom glasniku Republike Srbije", a primenjuje se od 30. aprila 2016. godine. </w:t>
      </w:r>
    </w:p>
    <w:p w:rsidR="00C93644" w:rsidRPr="00C93644" w:rsidRDefault="00C93644" w:rsidP="00C9364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6" w:name="str_1"/>
      <w:bookmarkEnd w:id="6"/>
      <w:r w:rsidRPr="00C93644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Obrazac </w:t>
      </w:r>
    </w:p>
    <w:p w:rsidR="00C93644" w:rsidRPr="00C93644" w:rsidRDefault="00C93644" w:rsidP="00C9364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7" w:name="str_2"/>
      <w:bookmarkEnd w:id="7"/>
      <w:r w:rsidRPr="00C93644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EVIDENCIJA PODATAKA O INSPEKCIJSKOM NADZORU </w:t>
      </w:r>
    </w:p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str_3"/>
      <w:bookmarkEnd w:id="8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I. PODACI O INSPEKCIJSKOM NADZORU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"/>
        <w:gridCol w:w="305"/>
        <w:gridCol w:w="8643"/>
      </w:tblGrid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1)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Vrsta inspekcijskog nadzora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redovni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vanredni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kontrolni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dopunski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gridSpan w:val="3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Razlozi za vanredan inspekcijski nadzor: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neophodnost preduzimanja hitnih mera radi sprečavanja ili otklanjanja neposredne opasnosti po 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(navođenje zaštićenog dobra, prava ili interesa)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posle donošenja godišnjeg plana inspekcijskog nadzora procenjeno je da je rizik visok ili kritičan ili su se promenile okolnosti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nadzor je zahtevao nadzirani subjekat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utvrđujući nadzor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potvrđujući nadzor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postupanje po predstavci pravnog ili fizičkog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2)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Oblik inspekcijskog nadzora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kancelarijski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terenski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lastRenderedPageBreak/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kancelarijski i terenski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3)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Podaci o nalogu za inspekcijski nadzor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Da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noWrap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 lica koje je izdalo nalog: 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Funkcija lica koje je izdalo nalog: 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Broj i datum izdavanja naloga: 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Predmet naloga: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Ne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4)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Dopunski nalog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Da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 lica koje je izdalo nalog: 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Funkcija lica koje je izdalo nalog: 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Broj i datum izdavanja naloga: 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Predmet naloga: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Ne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5)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Zaseban nalog (član 16. Zakona o inspekcijskom nadzoru)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D</w:t>
            </w:r>
            <w:r w:rsidRPr="00C93644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a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 lica koje je izdalo nalog: 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Funkcija lica koje je izdalo nalog: 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Broj i datum izdavanja naloga: 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Predmet naloga: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Ne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4"/>
      <w:bookmarkEnd w:id="9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II. PODACI O INSPEKCIJI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"/>
        <w:gridCol w:w="249"/>
        <w:gridCol w:w="8696"/>
      </w:tblGrid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1)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Inspekcija koja je vršila nadzor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Naziv inspekcije 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Ministarstvo / organ: 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2)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Inspekcijski nadzor je izvršen kao: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samostalan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zajednički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Inspekcija koja je upravljala zajedničkim inspekcijskim nadzorom: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Inspekcije koje su učestvovale u zajedničkom inspekcijskom nadzoru: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93644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__________________________________________________________________________________________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93644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__________________________________________________________________________________________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Razlozi za zajednički inspekcijski nadzor: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sprečavanje ili otklanjanje neposredne opasnosti po život i zdravlje ljudi, imovinu veće vrednosti, životnu sredinu ili biljni ili životinjski svet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visok ili kritičan rizik kod nadziranog subjekta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preduzimanje hitnih mera koje ne trpe odlaganje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složenost inspekcijskog nadzora ili značaj sprečavanja ili otklanjanja nezakonitosti, odnosno štetnih posledica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dobijanje na brzini nadzora, uštedi troškova i smanjenju gubitka vremena nadziranog subjekta i inspektora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provera predstavke koja je u delokrugu dve ili više inspekcija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sprečavanje obavljanja delatnosti i vršenja aktivnosti neregistrovanih subjekata koja je u delokrugu dve ili više inspekcija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drugi slučajevi: 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3)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Podaci o inspektoru koji je vršio nadzor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Inspekcijski nadzor je izvršio/li inspektor/i: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prezime: 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Broj službene legitimacije:___________________________________________________________________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prezime: 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Broj službene legitimacije:___________________________________________________________________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prezime: 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Broj službene legitimacije:___________________________________________________________________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prezime: 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Broj službene legitimacije:____________________________________________________________</w:t>
            </w:r>
            <w:r w:rsidRPr="00C93644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str_5"/>
      <w:bookmarkEnd w:id="10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III. PODACI O NADZIRANOM SUBJEKTU I ZASTUPNIKU, ODNOSNO OVLAŠĆENOM LICU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8"/>
        <w:gridCol w:w="234"/>
        <w:gridCol w:w="8700"/>
      </w:tblGrid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1) </w:t>
            </w: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Inspekcijski nadzor je izvršen kod nadziranog subjekta koji je: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Registrovani subjekat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Neregistrovani subjekat / Subjekat iz člana 33. stav 2. Zakona o inspekcijskom nadzoru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2) </w:t>
            </w: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Podaci o nadziranom subjektu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Pravno lice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Poslovno ime i naziv: 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PIB: 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Matični broj: 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Zastupnik / odgovorno lice: 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Funkcija: 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JMBG / Lični broj / Broj pasoša: 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Sedište: 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Poslovna jedinica: 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Kontakt: 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Preduzetnik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Poslovno ime i naziv: 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JMBG preduzetnika: 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PIB: ______________________________________________________________________</w:t>
            </w:r>
            <w:r w:rsidRPr="00C93644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Matični broj: 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JMBG / Lični broj / Broj pasoša: 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Sedište: 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Poslovna jedinica:___________________________________________________________________________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Kontakt: 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Fizičko lice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prezime: 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JMBG: 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Mesto: 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Adresa: 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Kontakt: 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Nepoznati subjekat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Poznati podaci: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Delatnost ili aktivnost: 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Teritorijalno područje: 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Lokacija objekta: 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Vrsta robe ili proizvoda, odnosno usluga: 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Drugi poznati podaci: 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__________________________________________________________________________________________</w:t>
            </w: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str_6"/>
      <w:bookmarkEnd w:id="11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IV. PODACI VEZANI ZA POKRETANJE POSTUPKA INSPEKCIJSKOG NADZORA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5"/>
        <w:gridCol w:w="8907"/>
      </w:tblGrid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 službenoj dužnosti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prema planu inspekcijskog nadzora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po predstavci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Povodom zahteva nadziranog subjekta za vršenje inspekcjiskog nadzora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Povodom zahteva drugog lica kome je posebnim zakonom priznato svojstvo stranke u postupku</w:t>
            </w: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str_7"/>
      <w:bookmarkEnd w:id="12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V. PODACI O PODNOSIOCU PREDSTAVKE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0"/>
        <w:gridCol w:w="8932"/>
      </w:tblGrid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Anonimni podnosilac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Poznat podnosilac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 podnosioca: 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Prebivalište: 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Datum podnošenja prijave: ________________________________________________________________________</w:t>
            </w: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str_8"/>
      <w:bookmarkEnd w:id="13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VI. PODACI O RIZIKU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2"/>
      </w:tblGrid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Nizak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Srednji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Visok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Kritičan </w:t>
            </w: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str_9"/>
      <w:bookmarkEnd w:id="14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VII. PRAVNI OSNOV, PREDMET, SVRHA I TRAJANJE INSPEKCIJSKOG NADZORA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1"/>
        <w:gridCol w:w="8941"/>
      </w:tblGrid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 xml:space="preserve">1.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Pravni osnov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2.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Predmet inspekcijskog nadzora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1)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2)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3)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4)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....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3.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Svrha inspekcijskog nadzora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4.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Trajanje inspekcijskog nadzora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Datum i čas početka: 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Datum i čas završetka: _____________________________________________________________________________ </w:t>
            </w: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str_10"/>
      <w:bookmarkEnd w:id="15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VIII. PODACI O PREDUZETIM RADNJAMA U VRŠENJU INSPEKCIJSKOG NADZORA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2"/>
      </w:tblGrid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Radnje preduzete u postupku inspekcijskog nadzora </w:t>
            </w:r>
          </w:p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Obaveštenje nadziranog subjekta o predstojećem inspekcijskom nadzoru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Korišćenje kontrolne liste _______________________________________________________________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Arial" w:eastAsia="Times New Roman" w:hAnsi="Arial" w:cs="Arial"/>
                <w:i/>
                <w:iCs/>
                <w:lang w:eastAsia="sr-Latn-RS"/>
              </w:rPr>
              <w:t>(navesti naziv kontrolne liste)</w:t>
            </w:r>
            <w:r w:rsidRPr="00C93644">
              <w:rPr>
                <w:rFonts w:ascii="Arial" w:eastAsia="Times New Roman" w:hAnsi="Arial" w:cs="Arial"/>
                <w:i/>
                <w:iCs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Uvid u javne isprave i podatke iz registara i evidencija koje vode nadležni državni organi, organi autonomne pokrajine i organi jedinice lokalne samouprave i drugi imaoci javnih ovlašćenja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Uvid u ličnu kartu ili drugu javnu ispravu podobnu za identifikaciju lica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Uvid u poslovne knjige, opšte i pojedinačne akte, evidencije, ugovore, planska dokumenta i drugu dokumentaciju nadziranog subjekta od značaja za inspekcijski nadzor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lastRenderedPageBreak/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Izjava nadziranog subjekta i drugog lica kome je posebnim zakonom priznato svojstvo stranke u postupku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Iskazi svedoka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Suočenja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Uviđaj, odnosno pregled i provera lokacije, zemljišta, objekata, poslovnog i drugog nestambenog prostora, postrojenja, uređaja, opreme, pribora, vozila i drugih namenskih prevoznih sredstava, drugih sredstava rada, proizvoda, predmeta koji se stavljaju u promet, robe u prometu i drugih predmeta kojima nadzirani subjekat obavlja delatnost ili vrši aktivnost, kao i drugih predmeta od značaja za inspekcijski nadzor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Uviđaj u stambenom prostoru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Uzimanje i analiza, odnosno ispitivanje uzoraka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Veštačenje (nalaz i mišljenje veštaka)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Fotografisanje i snimanje prostora u kome je vršen inspekcijski nadzor i drugih stvari koje su predmet nadzora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Druge radnje radi utvrđivanja činjeničnog stanja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Obezbeđenje dokaza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Radnje održavanja reda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Iniciranje privremenog ili trajnog oduzimanja dozvole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Pokretanje inicijative kod nadležnog organa za obustavljanje od izvršenja, odnosno za poništavanje ili ukidanje propisa ili drugog opšteg akta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</w: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Druge radnje: </w:t>
            </w:r>
          </w:p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________________________________________________________________________________________________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  <w:t>________________________________________________________________________________________________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  <w:t>________________________________________________________________________________________________</w:t>
            </w:r>
            <w:r w:rsidRPr="00C93644">
              <w:rPr>
                <w:rFonts w:ascii="Arial" w:eastAsia="Times New Roman" w:hAnsi="Arial" w:cs="Arial"/>
                <w:lang w:eastAsia="sr-Latn-RS"/>
              </w:rPr>
              <w:br/>
              <w:t>________________________________________________________________________________________________</w:t>
            </w: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str_11"/>
      <w:bookmarkEnd w:id="16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IX. PODACI O ZAPISNIKU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6"/>
        <w:gridCol w:w="311"/>
        <w:gridCol w:w="8635"/>
      </w:tblGrid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1.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Podaci o licu koje je sačinilo zapisnik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prezime: 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Zvanje: 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Broj službene legitimacije: 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Primedbe na zapisnik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Da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Kratak opis primedaba: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str_12"/>
      <w:bookmarkEnd w:id="17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X. PODACI O IZREČENIM MERAMA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"/>
        <w:gridCol w:w="370"/>
        <w:gridCol w:w="8572"/>
      </w:tblGrid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Izrečene mere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Da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Zapisnik o inspekcijskom nadzoru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Rešenje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Broj i datum rešenja: 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Nepostojanje osnova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Nepostojanje potrebe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2.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Vrste mera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Preventivne mere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Mere otklanjanja nezakonitosti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Posebne mere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Mere naredbe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Mere zabrane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Mere zaplene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Druge posebne mere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Mere za zaštitu prava trećih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_________________________________________________________________________________________</w:t>
            </w: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str_13"/>
      <w:bookmarkEnd w:id="18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XI. PODACI O ŽALBI I POSTUPKU PO ŽALBI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2"/>
      </w:tblGrid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>1)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Datumi podnošenja i prijema žalbe: 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</w:t>
            </w:r>
            <w:r w:rsidRPr="00C93644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>2)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Žalba izjavljena zbog: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zbog pogrešno ili nepotpuno utvrđenog činjeničnog stanja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zbog toga što je iz utvrđenih činjenica izveden nepravilan zaključak o činjeničnom stanju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zbog povrede pravila postupka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zbog pogrešne primene materijalnog prava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zbog toga što su prekoračene granice ovlašćenja pri odlučivanju po slobodnoj (diskrecionoj) oceni ili zbog toga što rešenje nije doneto saglasno cilju zbog koga je to ovlašćenje dato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zbog toga što inspektor nije pravilno primenio slobodnu (diskrecionu) ocenu pri odlučivanju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drugi razlog: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>3)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Postupak po žalbi: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u toku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okončan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4) U postupku po žalbi inspekcija je novim rešenjem zamenila rešenje koje se žalbom pobija: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Broj i datum novog rešenja: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Ne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>5)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Odluka drugostepenog organa po žalbi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žalba odbačena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žalba odbijena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rešenje oglašeno ništavim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rešenje oglašeno ništavim zbog nenadležnosti i predmet dostavljen nadležnom organu na rešavanje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drugostepeni organ je svojim rešenjem poništio prvostepeno rešenje i sam rešio upravnu stvar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drugostepeni organ svojim rešenjem poništio prvostepeno rešenje i vratio predmet inspekciji na ponovni postupak</w:t>
            </w: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drugostepeni organ izmenio prvostepeno rešenje jer se cilj zbog koga je doneseno može postići i drugim sredstvima povoljnijim za stranku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drugostepeni organ izmenio prvostepeno rešenje iz razloga predviđenih zakonom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>6)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Dalje radnje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bez daljih radnji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ponoviti inspekcijski nadzor u celini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delimično ponoviti inspekcijski nadzor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str_14"/>
      <w:bookmarkEnd w:id="19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XII. PODACI O IZVRŠENJU REŠENJA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5"/>
        <w:gridCol w:w="363"/>
        <w:gridCol w:w="8544"/>
      </w:tblGrid>
      <w:tr w:rsidR="00C93644" w:rsidRPr="00C93644" w:rsidTr="00C93644">
        <w:trPr>
          <w:tblCellSpacing w:w="0" w:type="dxa"/>
        </w:trPr>
        <w:tc>
          <w:tcPr>
            <w:tcW w:w="150" w:type="pct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Rešenje izvršeno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200" w:type="pct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4650" w:type="pct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Dobrovoljno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činjenjem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nečinjenjem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Administrativnim putem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Broj i datum zaključka o dozvoli izvršenja: 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Rešenje izvršeno preko drugih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Rešenje izvršeno prinudom - novčane kazne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Rešenje izvršeno neposrednom prinudom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pečaćenje prostora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na drugi način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str_15"/>
      <w:bookmarkEnd w:id="20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XIII. PODACI O KAZNENIM PRIJAVAMA I ZAHTEVIMA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7"/>
        <w:gridCol w:w="253"/>
        <w:gridCol w:w="8672"/>
      </w:tblGrid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Zahtev za pokretanje prekršajnog postupka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Prekršaj iz 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(navođenje člana, stava i tačke zakona ili drugog propisa)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Kada je nadzirani subjekat pravno lice, zahtev za pokretanje prekršajnog postupka podnet protiv: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pravnog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odgovornog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Prekršajni nalog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Prekršaj iz 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(navođenje člana, stava i tačke zakona ili drugog propisa)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Kada je nadzirani subjekat pravno lice, prekršajni nalog izdat: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pravnom licu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odgovornom licu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Nepokretanje prekršajnog postupka, odnosno neizdavanje prekršajnog naloga, u skladu sa članom 42. stav 3. Zakona o inspekcijskom nadzoru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Prekršaj iz ______________________________________________________________________</w:t>
            </w:r>
            <w:r w:rsidRPr="00C93644">
              <w:rPr>
                <w:rFonts w:ascii="Arial" w:eastAsia="Times New Roman" w:hAnsi="Arial" w:cs="Arial"/>
                <w:lang w:eastAsia="sr-Latn-RS"/>
              </w:rPr>
              <w:lastRenderedPageBreak/>
              <w:t>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(navođenje člana, stava i tačke zakona ili drugog propisa)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Prijava za privredni prestup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Privredni prestup iz 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(navođenje člana, stava i tačke zakona ili drugog propisa)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Kada je nadzirani subjekat pravno lice, prijava za privredni prestup podnet protiv: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pravnog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odgovornog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Krivična prijava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Krivično delo iz 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(navođenje člana, stava i tačke zakona)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Kada je nadzirani subjekat pravno lice, krivična prijava podneta protiv: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pravnog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odgovornog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str_16"/>
      <w:bookmarkEnd w:id="21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XIV. PODACI O ISHODIMA POSTUPANJA PRAVOSUDNIH ORGANA I ISHODIMA PREKRŠAJNIH NALOGA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2"/>
        <w:gridCol w:w="240"/>
        <w:gridCol w:w="8700"/>
      </w:tblGrid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Prekršajni postupak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Postupak u toku pred: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javnim tužilaštvom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prekršajnim sudom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Postupak okončan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Osuđujuća presuda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Oslobađajuća presuda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Zahtev odbačen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Postupak obustavljen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Zastarelost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Smrt fizičkog lica, odnosno prestanak postojanja pravnog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Drugi razlozi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Izdat prekršajni nalog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Prekršajni nalog plaćen: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Pokrenut postupak pred sudom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Postupak u toku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Prekršajni nalog ukinut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Zastarelost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Postupak za privredni prestup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Postupak u toku pred: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javnim tužilaštvom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privrednim sudom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Postupak okončan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Osuđujuća presuda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Oslobađajuća presuda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Prijava odbačena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Postupak obustavljen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Zastarelost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Smrt fizičkog lica, odnosno prestanak postojanja pravnog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Drugi razlozi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Krivični postupak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Postupak u toku: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Javno tužilaštvo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Krivični sud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Postupak okončan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Osuđujuća presuda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Oslobađajuća presuda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Prijava odbačena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Postupak obustavljen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Zastarelost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Smrt fizičkog lica, odnosno prestanak postojanja pravnog lica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C93644">
              <w:rPr>
                <w:rFonts w:ascii="Arial" w:eastAsia="Times New Roman" w:hAnsi="Arial" w:cs="Arial"/>
                <w:lang w:eastAsia="sr-Latn-RS"/>
              </w:rPr>
              <w:t xml:space="preserve"> Drugi razlozi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str_17"/>
      <w:bookmarkEnd w:id="22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XV. PODACI O PRITUŽBAMA NA RAD INSPEKTORA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6"/>
        <w:gridCol w:w="311"/>
        <w:gridCol w:w="8635"/>
      </w:tblGrid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93644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Podneta pritužba na rad inspektora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Da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 lica koje je podnelo pritužbu: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bottom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 inspektora protiv koga je podneta pritužba: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bottom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_________________________________________________________________________________________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Datum podnošenja pritužbe: 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</w:pPr>
            <w:r w:rsidRPr="00C93644">
              <w:rPr>
                <w:rFonts w:ascii="Webdings" w:eastAsia="Times New Roman" w:hAnsi="Webdings" w:cs="Times New Roman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0" w:type="auto"/>
            <w:vAlign w:val="center"/>
            <w:hideMark/>
          </w:tcPr>
          <w:p w:rsidR="00C93644" w:rsidRPr="00C93644" w:rsidRDefault="00C93644" w:rsidP="00C936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Ne </w:t>
            </w:r>
          </w:p>
        </w:tc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str_18"/>
      <w:bookmarkEnd w:id="23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XVI. DATUM UNOSA PODATAKA I PROMENE PODATAKA U EVIDENCIJU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2"/>
      </w:tblGrid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Datum unosa podataka: 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Datum promene podataka: _______________________________________________________________________</w:t>
            </w:r>
          </w:p>
        </w:tc>
      </w:tr>
    </w:tbl>
    <w:p w:rsidR="00C93644" w:rsidRPr="00C93644" w:rsidRDefault="00C93644" w:rsidP="00C936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str_19"/>
      <w:bookmarkEnd w:id="24"/>
      <w:r w:rsidRPr="00C9364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XVII. PODACI O INSPEKTORU, ODNOSNO DRUGOM LICU KOJE JE UNELO PODATKE U EVIDENCIJU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2"/>
      </w:tblGrid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Ime i prezime: ________________________________________________________________________________ 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>Zvanje: _____________________________________________________________________________________</w:t>
            </w:r>
          </w:p>
        </w:tc>
      </w:tr>
      <w:tr w:rsidR="00C93644" w:rsidRPr="00C93644" w:rsidTr="00C93644">
        <w:trPr>
          <w:tblCellSpacing w:w="0" w:type="dxa"/>
        </w:trPr>
        <w:tc>
          <w:tcPr>
            <w:tcW w:w="0" w:type="auto"/>
            <w:hideMark/>
          </w:tcPr>
          <w:p w:rsidR="00C93644" w:rsidRPr="00C93644" w:rsidRDefault="00C93644" w:rsidP="00C93644">
            <w:pPr>
              <w:spacing w:after="24" w:line="240" w:lineRule="auto"/>
              <w:ind w:left="720" w:hanging="288"/>
              <w:rPr>
                <w:rFonts w:ascii="Arial" w:eastAsia="Times New Roman" w:hAnsi="Arial" w:cs="Arial"/>
                <w:lang w:eastAsia="sr-Latn-RS"/>
              </w:rPr>
            </w:pPr>
            <w:r w:rsidRPr="00C93644">
              <w:rPr>
                <w:rFonts w:ascii="Arial" w:eastAsia="Times New Roman" w:hAnsi="Arial" w:cs="Arial"/>
                <w:lang w:eastAsia="sr-Latn-RS"/>
              </w:rPr>
              <w:t xml:space="preserve">Broj službene legitimacije: ______________________________________________________________________ </w:t>
            </w:r>
          </w:p>
        </w:tc>
      </w:tr>
    </w:tbl>
    <w:p w:rsidR="00C93644" w:rsidRPr="00C93644" w:rsidRDefault="00C93644" w:rsidP="00C936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93644">
        <w:rPr>
          <w:rFonts w:ascii="Arial" w:eastAsia="Times New Roman" w:hAnsi="Arial" w:cs="Arial"/>
          <w:b/>
          <w:bCs/>
          <w:lang w:eastAsia="sr-Latn-RS"/>
        </w:rPr>
        <w:t>Napomena:</w:t>
      </w:r>
      <w:r w:rsidRPr="00C93644">
        <w:rPr>
          <w:rFonts w:ascii="Arial" w:eastAsia="Times New Roman" w:hAnsi="Arial" w:cs="Arial"/>
          <w:lang w:eastAsia="sr-Latn-RS"/>
        </w:rPr>
        <w:t xml:space="preserve"> Podaci se unose obeležavanjem izabrane opcije ili više opcija istovremeno, odnosno unošenjem teksta u za to predviđena polja. </w:t>
      </w:r>
    </w:p>
    <w:p w:rsidR="007C5DD5" w:rsidRDefault="007C5DD5"/>
    <w:sectPr w:rsidR="007C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44"/>
    <w:rsid w:val="007C5DD5"/>
    <w:rsid w:val="00C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936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93644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numbering" w:customStyle="1" w:styleId="NoList1">
    <w:name w:val="No List1"/>
    <w:next w:val="NoList"/>
    <w:uiPriority w:val="99"/>
    <w:semiHidden/>
    <w:unhideWhenUsed/>
    <w:rsid w:val="00C93644"/>
  </w:style>
  <w:style w:type="character" w:styleId="Hyperlink">
    <w:name w:val="Hyperlink"/>
    <w:basedOn w:val="DefaultParagraphFont"/>
    <w:uiPriority w:val="99"/>
    <w:semiHidden/>
    <w:unhideWhenUsed/>
    <w:rsid w:val="00C93644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93644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C93644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C93644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C9364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C93644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C93644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9364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C9364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C93644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C93644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C93644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C93644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C93644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C93644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C93644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C93644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C93644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C93644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C93644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C93644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C93644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C93644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C93644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C93644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C93644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C93644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C93644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C93644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C93644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C93644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C93644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C936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C93644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C93644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C93644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C93644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C93644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C93644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C93644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C93644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C93644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C93644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C93644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C93644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C93644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C93644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C93644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C93644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webdings1">
    <w:name w:val="webdings1"/>
    <w:basedOn w:val="DefaultParagraphFont"/>
    <w:rsid w:val="00C93644"/>
    <w:rPr>
      <w:rFonts w:ascii="Webdings" w:hAnsi="Webdings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936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93644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numbering" w:customStyle="1" w:styleId="NoList1">
    <w:name w:val="No List1"/>
    <w:next w:val="NoList"/>
    <w:uiPriority w:val="99"/>
    <w:semiHidden/>
    <w:unhideWhenUsed/>
    <w:rsid w:val="00C93644"/>
  </w:style>
  <w:style w:type="character" w:styleId="Hyperlink">
    <w:name w:val="Hyperlink"/>
    <w:basedOn w:val="DefaultParagraphFont"/>
    <w:uiPriority w:val="99"/>
    <w:semiHidden/>
    <w:unhideWhenUsed/>
    <w:rsid w:val="00C93644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93644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C93644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C93644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C9364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C93644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C93644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9364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C9364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C93644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C93644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C93644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C93644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C93644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C93644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C93644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C93644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C93644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C936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C93644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C93644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C93644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C93644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C93644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C93644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C93644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C93644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C93644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C93644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C93644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C93644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C93644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C93644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C936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C93644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C93644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C93644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C93644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C93644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C93644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C93644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C9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C93644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C936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C93644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C93644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C93644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C93644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C93644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C93644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C93644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C93644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C93644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C93644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C93644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webdings1">
    <w:name w:val="webdings1"/>
    <w:basedOn w:val="DefaultParagraphFont"/>
    <w:rsid w:val="00C93644"/>
    <w:rPr>
      <w:rFonts w:ascii="Webdings" w:hAnsi="Webding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4081</Words>
  <Characters>23263</Characters>
  <Application>Microsoft Office Word</Application>
  <DocSecurity>0</DocSecurity>
  <Lines>193</Lines>
  <Paragraphs>54</Paragraphs>
  <ScaleCrop>false</ScaleCrop>
  <Company/>
  <LinksUpToDate>false</LinksUpToDate>
  <CharactersWithSpaces>27290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2017-02-24T07:33:00Z</dcterms:created>
  <dcterms:modified xsi:type="dcterms:W3CDTF">2017-02-24T07:34:00Z</dcterms:modified>
</cp:coreProperties>
</file>